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21 meter från avverkningsanmälan finns fynd av 23 naturvårdsarter, varav 19 är rödlistade, 2 är fridlysta, 16 är typiska (T) och 4 är signalarter (S): garnlav (VU, T), gräddporing (VU, T), knärot (VU, T, §8), skrovlig taggsvamp (VU), dropptaggsvamp (NT, T), dvärgbägarlav (NT, T), gammelgransskål (NT, T), kolflarnlav (NT, T), kryddspindling (NT, T), lunglav (NT, T), mörk kolflarnlav (NT), nordlig nållav (NT), orange taggsvamp (NT, T), reliktbock (NT, T), rödfläckig zontaggsvamp (NT), skarp dropptaggsvamp (NT),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