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37 naturvårdsarter, varav 25 är rödlistade, 7 är fridlysta, 25 är typiska (T) och 8 är signalarter (S): doftticka (VU, T, §8), fläckporing (VU, T), garnlav (VU, T), gräddporing (VU, T), knärot (VU, T, §8), smalfotad taggsvamp (VU), tajgataggsvamp (VU), doftskinn (NT, T), dropptaggsvamp (NT, T), dvärgbägarlav (NT, T), gammelgransskål (NT, T), gultoppig fingersvamp (NT), kortskaftad ärgspik (NT), lunglav (NT, T), mörk kolflarnlav (NT), nordtagging (NT), orange taggsvamp (NT, T), skarp dropptaggsvamp (NT), skrovellav (NT, T), sotvaxskivling (NT),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6.85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orange taggsvamp (NT, T), skrovellav (NT, T), vedskivlav (NT, T), vedtrappmossa (NT, T), bårdlav (S, T), grönpyrola (S, T), korallblylav (S, T), mörk husmossa (S, T), plattlummer (S, T, §9),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