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25234-2026 i Ragunda kommun</w:t>
      </w:r>
    </w:p>
    <w:p>
      <w:r>
        <w:t>Detta dokument behandlar höga naturvärden i avverkningsanmälan A 25234-2026 i Ragunda kommun som inkom 2026-06-02 och omfattar 15,5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118425" cy="5688000"/>
            <wp:docPr id="1" name="Picture 1"/>
            <wp:cNvGraphicFramePr>
              <a:graphicFrameLocks noChangeAspect="1"/>
            </wp:cNvGraphicFramePr>
            <a:graphic>
              <a:graphicData uri="http://schemas.openxmlformats.org/drawingml/2006/picture">
                <pic:pic>
                  <pic:nvPicPr>
                    <pic:cNvPr id="0" name="A 25234-2026 karta.png"/>
                    <pic:cNvPicPr/>
                  </pic:nvPicPr>
                  <pic:blipFill>
                    <a:blip r:embed="rId16"/>
                    <a:stretch>
                      <a:fillRect/>
                    </a:stretch>
                  </pic:blipFill>
                  <pic:spPr>
                    <a:xfrm>
                      <a:off x="0" y="0"/>
                      <a:ext cx="4118425"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7026655, E 531108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grönkulla (S, T, §8) och kransrams (S, T).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grönkulla (S, T,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2"/>
      </w:pPr>
      <w:r>
        <w:t>Övriga naturvårdsarter</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