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15977-2024 i Ragunda kommun</w:t>
      </w:r>
    </w:p>
    <w:p>
      <w:r>
        <w:t>Detta klagomål behandlar höga naturvärden i avverkningsanmälan A 15977-2024 i Ragunda kommun som inkom 2024-04-23 och omfattar 12,1 ha.</w:t>
      </w:r>
    </w:p>
    <w:p>
      <w:pPr>
        <w:pStyle w:val="Caption"/>
      </w:pPr>
      <w:r>
        <w:drawing>
          <wp:inline xmlns:a="http://schemas.openxmlformats.org/drawingml/2006/main" xmlns:pic="http://schemas.openxmlformats.org/drawingml/2006/picture">
            <wp:extent cx="5486400" cy="4142138"/>
            <wp:docPr id="1" name="Picture 1"/>
            <wp:cNvGraphicFramePr>
              <a:graphicFrameLocks noChangeAspect="1"/>
            </wp:cNvGraphicFramePr>
            <a:graphic>
              <a:graphicData uri="http://schemas.openxmlformats.org/drawingml/2006/picture">
                <pic:pic>
                  <pic:nvPicPr>
                    <pic:cNvPr id="0" name="A 15977-2024 karta.png"/>
                    <pic:cNvPicPr/>
                  </pic:nvPicPr>
                  <pic:blipFill>
                    <a:blip r:embed="rId16"/>
                    <a:stretch>
                      <a:fillRect/>
                    </a:stretch>
                  </pic:blipFill>
                  <pic:spPr>
                    <a:xfrm>
                      <a:off x="0" y="0"/>
                      <a:ext cx="5486400" cy="41421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7015135, E 568236 i SWEREF 99 TM.</w:t>
      </w:r>
    </w:p>
    <w:p>
      <w:r>
        <w:t>I avverkningsanmälan finns fynd av 7 naturvårdsarter, varav 7 är rödlistade och 4 är typiska (T): garnlav (VU, T), blanksvart spiklav (NT), dropptaggsvamp (NT, T), dvärgbägarlav (NT, T), mörk kolflarnlav (NT), ullticka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