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57915-2025 i Ragunda kommun</w:t>
      </w:r>
    </w:p>
    <w:p>
      <w:r>
        <w:t>Denna tillsynsbegäran behandlar höga naturvärden i avverkningsanmälan A 57915-2025 i Ragunda kommun som inkom 2025-11-20 och omfattar 6,4 ha.</w:t>
      </w:r>
    </w:p>
    <w:p>
      <w:pPr>
        <w:pStyle w:val="Caption"/>
      </w:pPr>
      <w:r>
        <w:drawing>
          <wp:inline xmlns:a="http://schemas.openxmlformats.org/drawingml/2006/main" xmlns:pic="http://schemas.openxmlformats.org/drawingml/2006/picture">
            <wp:extent cx="5486400" cy="4741736"/>
            <wp:docPr id="1" name="Picture 1"/>
            <wp:cNvGraphicFramePr>
              <a:graphicFrameLocks noChangeAspect="1"/>
            </wp:cNvGraphicFramePr>
            <a:graphic>
              <a:graphicData uri="http://schemas.openxmlformats.org/drawingml/2006/picture">
                <pic:pic>
                  <pic:nvPicPr>
                    <pic:cNvPr id="0" name="A 57915-2025 karta.png"/>
                    <pic:cNvPicPr/>
                  </pic:nvPicPr>
                  <pic:blipFill>
                    <a:blip r:embed="rId16"/>
                    <a:stretch>
                      <a:fillRect/>
                    </a:stretch>
                  </pic:blipFill>
                  <pic:spPr>
                    <a:xfrm>
                      <a:off x="0" y="0"/>
                      <a:ext cx="5486400" cy="474173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7008975, E 521104 i SWEREF 99 TM.</w:t>
      </w:r>
    </w:p>
    <w:p>
      <w:r>
        <w:t>I och inom 14 meter från avverkningsanmälan finns fynd av 32 naturvårdsarter, varav 24 är rödlistade, 5 är fridlysta, 26 är typiska (T) och 5 är signalarter (S): kolticka (CR), fläckporing (VU, T), garnlav (VU, T), gräddporing (VU, T), knärot (VU, T, §8), brunpudrad nållav (NT, T), dropptaggsvamp (NT, T), gammelgransskål (NT, T), kolflarnlav (NT, T), liten svartspik (NT), lunglav (NT, T), mörk kolflarnlav (NT), nordtagging (NT), rosa skärelav (NT, T), rosenticka (NT, T), rynkskinn (NT, T), stiftgelélav (NT, T), talltagel (NT, T), tretåig hackspett (NT, T, §4), ullticka (NT, T), vedflamlav (NT), vedskivlav (NT, T), vedtrappmossa (NT, T), vitgrynig nållav (NT), bårdlav (S, T), grönpyrola (S, T), nästlav (S, T), skinnlav (S, T), vedticka (S, T), blåsippa (T, §9), järpe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Kolticka (CR) </w:t>
      </w:r>
      <w:r>
        <w:t>är en mycket sällsynt och akut hotad art som endast växer på brända ytor av grova tallågor, ett substrat som blir alltmer sällsynt och numera bara påträffas i gammal barrskog. Svampens växtplatser bör undantas från skogsbruk och man bör lägga särskild vikt vid att spara gamla tallar. De kända lokalerna bör övervakas och om behov föreligger ges juridiskt skydd. För att säkerställa artens fortlevnad är det eftersträvansvärt att bränna lämpliga skogspartier och låta den brända veden ligga kvar. På sikt är bristen på lämpligt substrat i det kringliggande landskapet ett hot mot artens fortlevnad (SLU Artdatabanken, 2026).</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2.47 ha med buffertzonerna och får av detta skäl inte avverkas.</w:t>
      </w:r>
    </w:p>
    <w:p>
      <w:pPr>
        <w:pStyle w:val="Caption"/>
      </w:pPr>
      <w:r>
        <w:drawing>
          <wp:inline xmlns:a="http://schemas.openxmlformats.org/drawingml/2006/main" xmlns:pic="http://schemas.openxmlformats.org/drawingml/2006/picture">
            <wp:extent cx="5486400" cy="6119365"/>
            <wp:docPr id="2" name="Picture 2"/>
            <wp:cNvGraphicFramePr>
              <a:graphicFrameLocks noChangeAspect="1"/>
            </wp:cNvGraphicFramePr>
            <a:graphic>
              <a:graphicData uri="http://schemas.openxmlformats.org/drawingml/2006/picture">
                <pic:pic>
                  <pic:nvPicPr>
                    <pic:cNvPr id="0" name="A 57915-2025 karta knärot.png"/>
                    <pic:cNvPicPr/>
                  </pic:nvPicPr>
                  <pic:blipFill>
                    <a:blip r:embed="rId17"/>
                    <a:stretch>
                      <a:fillRect/>
                    </a:stretch>
                  </pic:blipFill>
                  <pic:spPr>
                    <a:xfrm>
                      <a:off x="0" y="0"/>
                      <a:ext cx="5486400" cy="61193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7008975, E 521104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knärot (VU, T, §8), brunpudrad nållav (NT, T), dropptaggsvamp (NT, T), gammelgransskål (NT, T), kolflarnlav (NT, T), lunglav (NT, T), rosa skärelav (NT, T), rosenticka (NT, T), rynkskinn (NT, T), stiftgelélav (NT, T), talltagel (NT, T), tretåig hackspett (NT, T, §4), ullticka (NT, T), vedskivlav (NT, T), vedtrappmossa (NT, T), bårdlav (S, T), grönpyrola (S, T), nästlav (S, T), skinnlav (S, T), vedticka (S, T), blåsippa (T, §9), järpe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