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43107-2023 i Ragunda kommun</w:t>
      </w:r>
    </w:p>
    <w:p>
      <w:r>
        <w:t>Detta klagomål behandlar höga naturvärden i avverkningsanmälan A 43107-2023 i Ragunda kommun som inkom 2023-09-13 och omfattar 8,6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7011452, E 569112 i SWEREF 99 TM.</w:t>
      </w:r>
    </w:p>
    <w:p>
      <w:r>
        <w:t>I och inom 25 meter från avverkningsanmälan finns fynd av 18 naturvårdsarter, varav 15 är rödlistade, 2 är fridlysta, 12 är typiska (T) och 3 är signalarter (S): trådbrosklav (EN), garnlav (VU, T), gräddporing (VU, T), blanksvart spiklav (NT), dropptaggsvamp (NT, T), dvärgbägarlav (NT, T), kolflarnlav (NT, T), kortskaftad ärgspik (NT), lunglav (NT, T), mörk kolflarnlav (NT), talltagel (NT, T), tretåig hackspett (NT, T, §4), ullticka (NT, T), vedskivlav (NT, T), vitgrynig nållav (NT), spindelblomster (S, T, §8),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