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33822-2023 i Ragunda kommun</w:t>
      </w:r>
    </w:p>
    <w:p>
      <w:r>
        <w:t>Detta klagomål behandlar höga naturvärden i avverkningsanmälan A 33822-2023 i Ragunda kommun som inkom 2023-07-14 och omfattar 3,9 ha.</w:t>
      </w:r>
    </w:p>
    <w:p>
      <w:pPr>
        <w:pStyle w:val="Caption"/>
      </w:pPr>
      <w:r>
        <w:drawing>
          <wp:inline xmlns:a="http://schemas.openxmlformats.org/drawingml/2006/main" xmlns:pic="http://schemas.openxmlformats.org/drawingml/2006/picture">
            <wp:extent cx="5486400" cy="4691573"/>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69157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7030369, E 529790 i SWEREF 99 TM.</w:t>
      </w:r>
    </w:p>
    <w:p>
      <w:r>
        <w:t>I och inom 7 meter från avverkningsanmälan finns fynd av 12 naturvårdsarter, varav 8 är rödlistade, 1 är fridlyst, 8 är typiska (T) och 4 är signalarter (S): fjällfotad musseron (VU), grynig filtlav (NT, T), lunglav (NT, T), skrovellav (NT, T), tretåig hackspett (NT, T, §4), ullticka (NT, T), vedskivlav (NT, T), vitgrynig nållav (NT), bårdlav (S, T), strimspindling (S), stuplav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