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41411-2024 i Ragunda kommun</w:t>
      </w:r>
    </w:p>
    <w:p>
      <w:r>
        <w:t>Detta klagomål behandlar höga naturvärden i avverkningsanmälan A 41411-2024 i Ragunda kommun som inkom 2024-09-25 och omfattar 9,8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41411-2024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6994054, E 550429 i SWEREF 99 TM.</w:t>
      </w:r>
    </w:p>
    <w:p>
      <w:r>
        <w:t>I och inom 18 meter från avverkningsanmälan finns fynd av 40 naturvårdsarter, varav 26 är rödlistade, 8 är fridlysta, 27 är typiska (T) och 8 är signalarter (S): doftticka (VU, T, §8), fläckporing (VU, T), garnlav (VU, T), gräddporing (VU, T), knärot (VU, T, §8), smalfotad taggsvamp (VU), tajgataggsvamp (VU), doftskinn (NT, T), dropptaggsvamp (NT, T), dvärgbägarlav (NT, T), gammelgransskål (NT, T), gultoppig fingersvamp (NT), kortskaftad ärgspik (NT), lunglav (NT, T), mörk kolflarnlav (NT), nordtagging (NT), orange taggsvamp (NT, T), Phellodon aquiloniniger (NT), skarp dropptaggsvamp (NT), skrovellav (NT, T), sotvaxskivling (NT), vaddporing (NT), vedskivlav (NT, T), vedtrappmossa (NT, T), vitplätt (NT), äggvaxskivling (NT), bårdlav (S, T), grönpyrola (S, T), korallblylav (S, T), mörk husmossa (S, T), plattlummer (S, T, §9), skinnlav (S, T), spindelblomster (S, T, §8), stuplav (S, T), blåsippa (T, §9), ekbräken (T), liljekonvalj (T), tjäder (T, §4), tofsmes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24 fyndplatser för knärot registrerade på Artportalen. Figur 2 visar gränserna för buffertzoner på 50 m, som behöver lämnas kring fyndplatserna för att knärotslokalerna inte ska försvinna vid en avverkning. Av det avverkningsanmälda området överlappar 6.99 ha med buffertzonerna och får av detta skäl inte avverkas.</w:t>
      </w:r>
    </w:p>
    <w:p>
      <w:pPr>
        <w:pStyle w:val="Caption"/>
      </w:pPr>
      <w:r>
        <w:drawing>
          <wp:inline xmlns:a="http://schemas.openxmlformats.org/drawingml/2006/main" xmlns:pic="http://schemas.openxmlformats.org/drawingml/2006/picture">
            <wp:extent cx="5486400" cy="7697890"/>
            <wp:docPr id="2" name="Picture 2"/>
            <wp:cNvGraphicFramePr>
              <a:graphicFrameLocks noChangeAspect="1"/>
            </wp:cNvGraphicFramePr>
            <a:graphic>
              <a:graphicData uri="http://schemas.openxmlformats.org/drawingml/2006/picture">
                <pic:pic>
                  <pic:nvPicPr>
                    <pic:cNvPr id="0" name="A 41411-2024 karta knärot.png"/>
                    <pic:cNvPicPr/>
                  </pic:nvPicPr>
                  <pic:blipFill>
                    <a:blip r:embed="rId17"/>
                    <a:stretch>
                      <a:fillRect/>
                    </a:stretch>
                  </pic:blipFill>
                  <pic:spPr>
                    <a:xfrm>
                      <a:off x="0" y="0"/>
                      <a:ext cx="5486400" cy="76978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6994054, E 550429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Ekbräken </w:t>
      </w:r>
      <w:r>
        <w:t xml:space="preserve">är typisk art för </w:t>
      </w:r>
      <w:r>
        <w:rPr>
          <w:i/>
        </w:rPr>
        <w:t>9050 Näringsrik granskog</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40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