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29209-2024 i Ragunda kommun</w:t>
      </w:r>
    </w:p>
    <w:p>
      <w:r>
        <w:t>Detta dokument behandlar höga naturvärden i avverkningsanmälan A 29209-2024 i Ragunda kommun. Denna avverkningsanmälan inkom 2024-07-09 och omfattar 8,5 ha.</w:t>
      </w:r>
    </w:p>
    <w:p>
      <w:r>
        <w:t>Nedan presenteras fynd av naturvårdsarter och fridlysta arter som gjorts i det avverkningsanmälda området, samt relevanta utdrag ur standarderna för FSC, Chain of Custody, Controlled Wood och PEFC. I BILAGA 1 finns artfakta om fridlysta och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12 naturvårdsarter hittats: knärot (VU, §8), rynkskinn (VU), garnlav (NT), kolflarnlav (NT), lunglav (NT), rosenticka (NT), talltita (NT, §4), ullticka (NT), bårdlav (S), korallblylav (S), plattlummer (S, §9) och spindelblomster (S, §8). Av dessa är 8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562988"/>
            <wp:docPr id="1" name="Picture 1"/>
            <wp:cNvGraphicFramePr>
              <a:graphicFrameLocks noChangeAspect="1"/>
            </wp:cNvGraphicFramePr>
            <a:graphic>
              <a:graphicData uri="http://schemas.openxmlformats.org/drawingml/2006/picture">
                <pic:pic>
                  <pic:nvPicPr>
                    <pic:cNvPr id="0" name="A 29209-2024 karta.png"/>
                    <pic:cNvPicPr/>
                  </pic:nvPicPr>
                  <pic:blipFill>
                    <a:blip r:embed="rId16"/>
                    <a:stretch>
                      <a:fillRect/>
                    </a:stretch>
                  </pic:blipFill>
                  <pic:spPr>
                    <a:xfrm>
                      <a:off x="0" y="0"/>
                      <a:ext cx="5486400" cy="356298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7003665, E 554601 i SWEREF 99 TM.</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rPr>
          <w:b/>
        </w:rPr>
        <w:t>Rosenticka (NT)</w:t>
      </w:r>
      <w:r>
        <w:t>,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(Nitare &amp; Skogsstyrelsen, 2019; SLU Artdatabanken, 2024).</w:t>
      </w:r>
    </w:p>
    <w:p>
      <w:r>
        <w:rPr>
          <w:b/>
        </w:rPr>
        <w:t>Rynkskinn (VU)</w:t>
      </w:r>
      <w:r>
        <w:t>, rödlistad som sårbar, är en vednedbrytare som växer på grova granlågor och ingår i en karaktäristisk association av vedsvampar knutna till urskogsartade barrskogar. Den har klassificerats som en “urskogsindikator” och är placerad i toppen av Skogsstyrelsens värdepyramid för bedömning av skog med höga naturvärden. Allt tyder på att rynkskinn är mycket känslig för skogliga ingrepp (Nitare &amp; Skogsstyrelsen, 2019; SLU Artdatabanken, 2024).</w:t>
      </w:r>
    </w:p>
    <w:p>
      <w:pPr>
        <w:pStyle w:val="Heading1"/>
      </w:pPr>
      <w:r>
        <w:t>Fridlysta arter</w:t>
      </w:r>
    </w:p>
    <w:p>
      <w:r>
        <w:t>Följande fridlysta arter har sina livsmiljöer och växtplatser i den avverkningsanmälda skogen: knärot (VU, §8), talltita (NT, §4), plattlummer (S, §9) och spindelblomster (S, §8).</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7 fyndplatser för knärot registrerade på Artportalen. Figur 2 visar gränserna för buffertzoner på 50 m, som behöver lämnas kring fyndplatserna för att knärotslokalerna inte ska försvinna vid en avverkning. Av det avverkningsanmälda området överlappar 2.73 ha med buffertzonerna och får av detta skäl inte avverkas.</w:t>
      </w:r>
    </w:p>
    <w:p>
      <w:pPr>
        <w:pStyle w:val="Caption"/>
      </w:pPr>
      <w:r>
        <w:drawing>
          <wp:inline xmlns:a="http://schemas.openxmlformats.org/drawingml/2006/main" xmlns:pic="http://schemas.openxmlformats.org/drawingml/2006/picture">
            <wp:extent cx="5486400" cy="4109985"/>
            <wp:docPr id="2" name="Picture 2"/>
            <wp:cNvGraphicFramePr>
              <a:graphicFrameLocks noChangeAspect="1"/>
            </wp:cNvGraphicFramePr>
            <a:graphic>
              <a:graphicData uri="http://schemas.openxmlformats.org/drawingml/2006/picture">
                <pic:pic>
                  <pic:nvPicPr>
                    <pic:cNvPr id="0" name="A 29209-2024 karta knärot.png"/>
                    <pic:cNvPicPr/>
                  </pic:nvPicPr>
                  <pic:blipFill>
                    <a:blip r:embed="rId17"/>
                    <a:stretch>
                      <a:fillRect/>
                    </a:stretch>
                  </pic:blipFill>
                  <pic:spPr>
                    <a:xfrm>
                      <a:off x="0" y="0"/>
                      <a:ext cx="5486400" cy="4109985"/>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7003665, E 554601 i SWEREF 99 TM.</w:t>
      </w:r>
    </w:p>
    <w:p>
      <w:pPr>
        <w:pStyle w:val="Caption"/>
      </w:pPr>
    </w:p>
    <w:p>
      <w:r>
        <w:rPr>
          <w:b/>
        </w:rPr>
        <w:t>Spindelblomster (§8)</w:t>
      </w:r>
      <w:r>
        <w:t xml:space="preserve"> växer i äldre mossrik granskog eller barrblandskog, men även i fjällbjörkskog. Arten indikerar långvarig trädkontinuitet och hög luftfuktighet och är mycket känslig för uttorkning och markskador. Spindelblomster har i många trakter minskat starkt under senare tid på grund av slutavverkningar och skogsmarksdikning (Nitare &amp; Skogsstyrelsen, 2019).</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12 naturvårdsarter varav 8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w:t>
        <w:br/>
        <w:t>Fridlysta och rödlistade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två rödlistade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pPr>
        <w:pStyle w:val="Heading1"/>
      </w:pPr>
      <w:r>
        <w:t>Talltita – ekologi samt krav på livsmiljön</w:t>
      </w:r>
    </w:p>
    <w:p>
      <w:r>
        <w:t xml:space="preserve">Talltita är rödlistad som NT, fridlyst och prioriterad art i Skogsvårdslagen. Den omfattas av EU:s fågeldirektiv. Arten har minskat kraftigt de senaste 30 åren och minskningstakten innevarande 10-årsperiod beräknas till 20 (10–30) % (SLU Artdatabanken, 2022). </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 xml:space="preserve">For. Ecol. Manage. 319, 169–175. </w:t>
      </w:r>
    </w:p>
    <w:p>
      <w:r>
        <w:t xml:space="preserve">Ekman, J., 1979. </w:t>
      </w:r>
      <w:r>
        <w:rPr>
          <w:i/>
        </w:rPr>
        <w:t xml:space="preserve">Coherence, composition and territories of winter social groups of the Willow Tit Parus montanus and the Crested Tit P. cristatus. </w:t>
      </w:r>
      <w:r>
        <w:t xml:space="preserve">Ornis Scandinavica, 10, pp 56–68 </w:t>
      </w:r>
    </w:p>
    <w:p>
      <w:r>
        <w:t xml:space="preserve">Griesser, M., Nystrand, M., Eggers, S., Ekman, J., 2007. </w:t>
      </w:r>
      <w:r>
        <w:rPr>
          <w:i/>
        </w:rPr>
        <w:t xml:space="preserve">Impact of forestry practices on fitness correlates and population productivity in an open-nesting bird species. </w:t>
      </w:r>
      <w:r>
        <w:t xml:space="preserve">Conserv. Biol. 21, 767–774. https://doi.org/10.1111/j.1523- 1739.2007.00675.x </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2025-03-19</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