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28178-2023 i Ragunda kommun</w:t>
      </w:r>
    </w:p>
    <w:p>
      <w:r>
        <w:t>Detta dokument behandlar höga naturvärden i avverkningsanmälan A 28178-2023 i Ragunda kommun som inkom 2023-06-16 och omfattar 5,6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12207"/>
            <wp:docPr id="1" name="Picture 1"/>
            <wp:cNvGraphicFramePr>
              <a:graphicFrameLocks noChangeAspect="1"/>
            </wp:cNvGraphicFramePr>
            <a:graphic>
              <a:graphicData uri="http://schemas.openxmlformats.org/drawingml/2006/picture">
                <pic:pic>
                  <pic:nvPicPr>
                    <pic:cNvPr id="0" name="A 28178-2023 karta.png"/>
                    <pic:cNvPicPr/>
                  </pic:nvPicPr>
                  <pic:blipFill>
                    <a:blip r:embed="rId16"/>
                    <a:stretch>
                      <a:fillRect/>
                    </a:stretch>
                  </pic:blipFill>
                  <pic:spPr>
                    <a:xfrm>
                      <a:off x="0" y="0"/>
                      <a:ext cx="5486400" cy="5112207"/>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7022162, E 536292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(VU, T), gultoppig fingersvamp (NT) och violettgrå tagellav (NT, T). Av dessa är 3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