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13305-2022 i Ragunda kommun</w:t>
      </w:r>
    </w:p>
    <w:p>
      <w:r>
        <w:t>Detta dokument behandlar höga naturvärden i avverkningsanmälan A 13305-2022 i Ragunda kommun. Denna avverkningsanmälan inkom 2022-03-24 00:00:00 och omfattar 6,0 ha.</w:t>
      </w:r>
    </w:p>
    <w:p>
      <w:r>
        <w:t>Nedan presenteras fynd av naturvårdsarter och fridlysta 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17 naturvårdsarter hittats: liten hornflikmossa (VU), garnlav (NT), kolflarnlav (NT), lunglav (NT), skrovellav (NT), ullticka (NT), vedflikmossa (NT), vitgrynig nållav (NT), bårdlav (S), dropptaggsvamp (S), korallblylav (S), kransrams (S), plattlummer (S, §9), spindelblomster (S, §8), stuplav (S), vedticka (S) och fläcknycklar (§8). Av dessa är 8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26280"/>
            <wp:docPr id="1" name="Picture 1"/>
            <wp:cNvGraphicFramePr>
              <a:graphicFrameLocks noChangeAspect="1"/>
            </wp:cNvGraphicFramePr>
            <a:graphic>
              <a:graphicData uri="http://schemas.openxmlformats.org/drawingml/2006/picture">
                <pic:pic>
                  <pic:nvPicPr>
                    <pic:cNvPr id="0" name="A 13305-2022 karta.png"/>
                    <pic:cNvPicPr/>
                  </pic:nvPicPr>
                  <pic:blipFill>
                    <a:blip r:embed="rId16"/>
                    <a:stretch>
                      <a:fillRect/>
                    </a:stretch>
                  </pic:blipFill>
                  <pic:spPr>
                    <a:xfrm>
                      <a:off x="0" y="0"/>
                      <a:ext cx="5486400" cy="452628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7017919, E 550981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Korallblylav</w:t>
      </w:r>
      <w:r>
        <w:t xml:space="preserve"> växer på bark av asp, ask, rönn, sälg, bok och lönn och signalerar överallt skogsbestånd med höga naturvärden och den följs nästan alltid av andra ovanliga och rödlistade arter. Den indikerar hög och jämn luftfuktighet och växer främst i områden med lång skoglig kontinuitet där det funnits ett ständigt inslag av gamla lövträd (SLU Artdatabanken, 2024; Nitare &amp; Skogsstyrelsen, 2019).</w:t>
      </w:r>
    </w:p>
    <w:p>
      <w:r>
        <w:rPr>
          <w:b/>
        </w:rPr>
        <w:t>Liten hornflikmossa (VU)</w:t>
      </w:r>
      <w:r>
        <w:t xml:space="preserve"> växer på grova murkna lågor i sluten och urskogsartad granskog med hög och jämn luftfuktighet. Arten är placerad högst upp i Skogsstyrelsens värdepyramid för bedömning av skog med höga naturvärden och samtliga kända lokaler med liten hornflikmossa bör ges ett ändamålsenligt skydd (SLU Artdatabanken, 2024;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 xml:space="preserve">Vedflikmossa (NT) </w:t>
      </w:r>
      <w:r>
        <w:t>är strikt knuten till död ved i främst Norrlands barrskogar. Fanns tidigare även i södra Sveriges skogar men är borta där. Eftersom arten huvudsakligen är hänvisad till skog där träd fått växa kontinuerligt under flera hundra år (kontinuitetsskog), inte klarar av en kalhyggesfas och har svårt att sprida sig över stora avstånd, bedöms populationen fortsätta att minska på grund av dagens avverkningstakt av kontinuitetsskog. För att hejda populationsminskningen av denna art måste kalavverkning i de barrskogar som tidigare aldrig kalhuggits (kontinuitetsskog) upphöra eller begränsas kraftigt (SLU Artdatabanken, 2024).</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pPr>
        <w:pStyle w:val="Heading1"/>
      </w:pPr>
      <w:r>
        <w:t>Fridlysta arter</w:t>
      </w:r>
    </w:p>
    <w:p>
      <w:r>
        <w:t>Följande fridlysta arter har sina livsmiljöer och växtplatser i den avverkningsanmälda skogen: plattlummer (S, §9), spindelblomster (S, §8) och fläcknycklar (§8).</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17 naturvårdsarter varav 8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2025-11-27</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