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21037-2021 i Ragunda kommun</w:t>
      </w:r>
    </w:p>
    <w:p>
      <w:r>
        <w:t>Detta dokument behandlar höga naturvärden i avverkningsanmälan A 21037-2021 i Ragunda kommun. Denna avverkningsanmälan inkom 2021-05-03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olivbrun gytterlav (NT) och persiljespindling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3612"/>
            <wp:docPr id="1" name="Picture 1"/>
            <wp:cNvGraphicFramePr>
              <a:graphicFrameLocks noChangeAspect="1"/>
            </wp:cNvGraphicFramePr>
            <a:graphic>
              <a:graphicData uri="http://schemas.openxmlformats.org/drawingml/2006/picture">
                <pic:pic>
                  <pic:nvPicPr>
                    <pic:cNvPr id="0" name="A 21037-2021 karta.png"/>
                    <pic:cNvPicPr/>
                  </pic:nvPicPr>
                  <pic:blipFill>
                    <a:blip r:embed="rId16"/>
                    <a:stretch>
                      <a:fillRect/>
                    </a:stretch>
                  </pic:blipFill>
                  <pic:spPr>
                    <a:xfrm>
                      <a:off x="0" y="0"/>
                      <a:ext cx="5486400" cy="3323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6997479, E 569856 i SWEREF 99 TM.</w:t>
      </w:r>
    </w:p>
    <w:p>
      <w:r>
        <w:rPr>
          <w:b/>
        </w:rPr>
        <w:t>Olivbrun gytterlav (NT)</w:t>
      </w:r>
      <w:r>
        <w:t xml:space="preserve"> växer på barken av flera olika mossbelupna lövträd, främst asp, ask och lönn. Den är beroende av hög och jämn luftfuktighet och är placerad högst upp i Skogsstyrelsens värdepyramid för bedömning av skog med höga naturvärden. Laven hotas av avverkning av asp i blandskogsbestånd och av att gamla vårdträd, alléträd m.m. avverkas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