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41415-2024 i Ragunda kommun</w:t>
      </w:r>
    </w:p>
    <w:p>
      <w:r>
        <w:t>Detta dokument behandlar höga naturvärden i avverkningsanmälan A 41415-2024 i Ragunda kommun. Denna avverkningsanmälan inkom 2024-09-25 08:17:16 och omfattar 4,3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16 naturvårdsarter hittats: gräddporing (VU), knärot (VU, §8), dvärgbägarlav (NT), gammelgransskål (NT), garnlav (NT), lunglav (NT), mörk kolflarnlav (NT), nordlig nållav (NT), orange taggsvamp (NT), reliktbock (NT), vaddporing (NT), vedskivlav (NT), bårdlav (S), dropptaggsvamp (S), korallblylav (S) och spindelblomster (S, §8). Av dessa är 12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9023"/>
            <wp:docPr id="1" name="Picture 1"/>
            <wp:cNvGraphicFramePr>
              <a:graphicFrameLocks noChangeAspect="1"/>
            </wp:cNvGraphicFramePr>
            <a:graphic>
              <a:graphicData uri="http://schemas.openxmlformats.org/drawingml/2006/picture">
                <pic:pic>
                  <pic:nvPicPr>
                    <pic:cNvPr id="0" name="A 41415-2024 karta.png"/>
                    <pic:cNvPicPr/>
                  </pic:nvPicPr>
                  <pic:blipFill>
                    <a:blip r:embed="rId16"/>
                    <a:stretch>
                      <a:fillRect/>
                    </a:stretch>
                  </pic:blipFill>
                  <pic:spPr>
                    <a:xfrm>
                      <a:off x="0" y="0"/>
                      <a:ext cx="5486400" cy="41090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6994534, E 550466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Gräddporing (VU)</w:t>
      </w:r>
      <w:r>
        <w:t xml:space="preserve"> växer nästan enbart i urskogsartad barrskog på gamla, kraftigt murkna, grova och mossbelupna tallågor i något fuktiga och skuggiga lägen. Arten är placerad högst upp i Skogsstyrelsens värdepyramid för bedömning av skog med höga naturvärden och indikerar gamla och relativt orörda tallnaturskogar med höga naturvärden där det under låg tid kontinuerligt funnits inslag av grova tallågor. För att på sikt hejda artens vikande trend behöver merparten av gräddporingens nu kända växtplatser undantas från skogsbruk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Nordlig nållav (NT)</w:t>
      </w:r>
      <w:r>
        <w:t xml:space="preserve"> signalerar alltid miljöer med höga naturvärden. På lokalerna förekommer nästan alltid andra rödlistade eller ovanliga arter knutna till gamla skogar. Alla skogsskötselåtgärder på eller i omedelbar närhet av lokalerna utgör ett hot. Några av lavens rikaste förekomster bör skyddas (SLU Artdatabanken, 2024; Nitare &amp; Skogsstyrelsen, 2019).</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Reliktbock (NT)</w:t>
      </w:r>
      <w:r>
        <w:t xml:space="preserve"> är en skalbagge vars larvutveckling sker i tjock, solexponerad skorpbark på gamla, levande tallar. Ofta i träd som under längre tid stått fritt och öppet, t.ex. i kantzoner i odlingslandskap, längs stränder och åsar, men också i gles, gammal tallskog på mager mark. Arten är brandgynnad genom att omgivande småträd och buskar försvinner vid lågintensiva bränder samtidigt som gamla tallar överlever och förblir solexponerade. Minskningstakten för den svenska populationen bedöms vara nära gränsvärdet för Sårbar (VU) och i den europeiska rödlistan är reliktbock rödlistad som Sårbar (VU) vilket innebär att Sverige har ett internationellt ansvar för arten. Gamla tallskogar bör få ett långsiktigt skydd, och inte slutavverkas (SLU Artdatabanken, 2024; IUCN, 2016).</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knärot (VU, §8) och spindelblomster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0.77 ha med buffertzonerna och får av detta skäl inte avverkas.</w:t>
      </w:r>
    </w:p>
    <w:p>
      <w:pPr>
        <w:pStyle w:val="Caption"/>
      </w:pPr>
      <w:r>
        <w:drawing>
          <wp:inline xmlns:a="http://schemas.openxmlformats.org/drawingml/2006/main" xmlns:pic="http://schemas.openxmlformats.org/drawingml/2006/picture">
            <wp:extent cx="5486400" cy="4876969"/>
            <wp:docPr id="2" name="Picture 2"/>
            <wp:cNvGraphicFramePr>
              <a:graphicFrameLocks noChangeAspect="1"/>
            </wp:cNvGraphicFramePr>
            <a:graphic>
              <a:graphicData uri="http://schemas.openxmlformats.org/drawingml/2006/picture">
                <pic:pic>
                  <pic:nvPicPr>
                    <pic:cNvPr id="0" name="A 41415-2024 karta knärot.png"/>
                    <pic:cNvPicPr/>
                  </pic:nvPicPr>
                  <pic:blipFill>
                    <a:blip r:embed="rId17"/>
                    <a:stretch>
                      <a:fillRect/>
                    </a:stretch>
                  </pic:blipFill>
                  <pic:spPr>
                    <a:xfrm>
                      <a:off x="0" y="0"/>
                      <a:ext cx="5486400" cy="487696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6994534, E 550466 i SWEREF 99 TM.</w:t>
      </w:r>
    </w:p>
    <w:p>
      <w:pPr>
        <w:pStyle w:val="Caption"/>
      </w:pP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16 naturvårdsarter varav 12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