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61937-2022 i Ragunda kommun</w:t>
      </w:r>
    </w:p>
    <w:p>
      <w:r>
        <w:t>Detta dokument behandlar höga naturvärden i avverkningsanmälan A 61937-2022 i Ragunda kommun. Denna avverkningsanmälan inkom 2022-12-22 00:00:00 och omfattar 12,4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knärot (VU, §8), rynkskinn (VU), smalskaftslav (VU), doftskinn (NT), garnlav (NT), lunglav (NT), rosenticka (NT), tretåig hackspett (NT, §4), ullticka (NT), vedtrappmossa (NT), vitgrynig nållav (NT), guckusko (S, §7), gytterlav (S), korallblylav (S), kransrams (S), luddlav (S), stuplav (S), svavelriska (S), trådticka (S), tvåblad (S, §8) och fläcknycklar (§8).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3529"/>
            <wp:docPr id="1" name="Picture 1"/>
            <wp:cNvGraphicFramePr>
              <a:graphicFrameLocks noChangeAspect="1"/>
            </wp:cNvGraphicFramePr>
            <a:graphic>
              <a:graphicData uri="http://schemas.openxmlformats.org/drawingml/2006/picture">
                <pic:pic>
                  <pic:nvPicPr>
                    <pic:cNvPr id="0" name="A 61937-2022 karta.png"/>
                    <pic:cNvPicPr/>
                  </pic:nvPicPr>
                  <pic:blipFill>
                    <a:blip r:embed="rId16"/>
                    <a:stretch>
                      <a:fillRect/>
                    </a:stretch>
                  </pic:blipFill>
                  <pic:spPr>
                    <a:xfrm>
                      <a:off x="0" y="0"/>
                      <a:ext cx="5486400" cy="3093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7004179, E 549490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tretåig hackspett (NT, §4), guckusko (S, §7), tvåblad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Guckusko (§7)</w:t>
      </w:r>
      <w:r>
        <w:t xml:space="preserve">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Guckusko är rödlistad som nära hotad (NT) i den europeiska rödlistan och Sverige hyser mer än halva den beräknade populationen av arten i EU, vilket innebär att vi har ett internationellt ansvar för arten (SLU Artdatabanken, 2021; IUCN, 2011).</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1.12 ha med buffertzonerna och får av detta skäl inte avverkas.</w:t>
      </w:r>
    </w:p>
    <w:p>
      <w:pPr>
        <w:pStyle w:val="Caption"/>
      </w:pPr>
      <w:r>
        <w:drawing>
          <wp:inline xmlns:a="http://schemas.openxmlformats.org/drawingml/2006/main" xmlns:pic="http://schemas.openxmlformats.org/drawingml/2006/picture">
            <wp:extent cx="5486400" cy="3532884"/>
            <wp:docPr id="2" name="Picture 2"/>
            <wp:cNvGraphicFramePr>
              <a:graphicFrameLocks noChangeAspect="1"/>
            </wp:cNvGraphicFramePr>
            <a:graphic>
              <a:graphicData uri="http://schemas.openxmlformats.org/drawingml/2006/picture">
                <pic:pic>
                  <pic:nvPicPr>
                    <pic:cNvPr id="0" name="A 61937-2022 karta knärot.png"/>
                    <pic:cNvPicPr/>
                  </pic:nvPicPr>
                  <pic:blipFill>
                    <a:blip r:embed="rId17"/>
                    <a:stretch>
                      <a:fillRect/>
                    </a:stretch>
                  </pic:blipFill>
                  <pic:spPr>
                    <a:xfrm>
                      <a:off x="0" y="0"/>
                      <a:ext cx="5486400" cy="353288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7004179, E 549490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6.4.1 </w:t>
      </w:r>
      <w:r>
        <w:t>Följande biotoper undantas från alla skogsbruksåtgärder, förutom åtgärder påkallade för att bevara eller främja biotopens naturliga eller hävdbetingade biologiska mångfald:</w:t>
      </w:r>
    </w:p>
    <w:p>
      <w:pPr>
        <w:ind w:left="357"/>
      </w:pPr>
      <w:r>
        <w:t>b) nyckelbiotoper enligt Skogsstyrelsens definition och metod (1995)</w:t>
      </w:r>
    </w:p>
    <w:p>
      <w:pPr>
        <w:pStyle w:val="ListBullet"/>
      </w:pPr>
      <w:r>
        <w:rPr>
          <w:b/>
          <w:i/>
        </w:rPr>
        <w:t xml:space="preserve">Kommentar: </w:t>
      </w:r>
      <w:r>
        <w:rPr>
          <w:i/>
        </w:rPr>
        <w:t>I det avverkningsanmälda skogsområdet har 20 rödlistade arter och signalarter påträffats. Detta ska jämföras med Skogsstyrelsens uppföljning 2017 av nyckelbiotoper som visade att man i genomsnitt hittar 20,6 olika rödlistade arter och signalarter i en nyckelbiotop (Wijk, S. 2017. Biologisk mångfald i nyckelbiotoper – Resultat från inventeringen “Uppföljning biologisk mångfald” 2009–2015. Rapport 4/2017 Skogsstyrelsen, Jönköping).</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Guckusko – ekologi samt krav på livsmiljön</w:t>
      </w:r>
    </w:p>
    <w:p>
      <w:r>
        <w:t>Guckusko omfattas av EU:s art- och habitatdirektiv och är fridlyst enligt §7 Artskyddsförordningen (bilaga 1) vilket innebär att hela dess livsmiljö ska bevaras. Guckusko är beroende av hög och jämn luftfuktighet i gamla, ostörda skogsmiljöer och är känslig för snabba förändringar av ljus-/vindförhållanden eller uttorkning. Den förekommer främst i skogar som inte påverkats av kraftig störning, till exempel slutavverkning, markberedning, körskador, gödsling eller dikning (SLU Artdatabanken, 2021).</w:t>
      </w:r>
    </w:p>
    <w:p>
      <w:r>
        <w:t>Dikning och slutavverkning av guckuskons växtplatser är ett direkt hot mot arten och bör undvikas. Kalavverkning missgynnar arten, dels om hyggesavfall lämnas, vilket kan kväva enskilda bestånd, dels indirekt genom att mer konkurrensstarka arter gynnas. Körskador av skogsmaskiner och hyggesplöjning kan leda till lokalt ändrad hydrologi, då de mullrika, fuktiga jordarna är mjuka. Sverige hyser mer än halva den beräknade populationen av arten i EU, vilket innebär att vi har ett internationellt ansvar för arten (SLU Artdatabanken, 2021).</w:t>
      </w:r>
    </w:p>
    <w:p>
      <w:pPr>
        <w:pStyle w:val="Heading2"/>
      </w:pPr>
      <w:r>
        <w:t>Referenser – guckusko</w:t>
      </w:r>
    </w:p>
    <w:p>
      <w:r>
        <w:t xml:space="preserve">SLU Artdatabanken, 2021. </w:t>
      </w:r>
      <w:r>
        <w:rPr>
          <w:i/>
        </w:rPr>
        <w:t xml:space="preserve">Artfaktablad. Naturvård – artfakta. </w:t>
      </w:r>
      <w:r>
        <w:t>SLU Artdatabanken, Uppsala</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