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41415-2024 i Ragunda kommun</w:t>
      </w:r>
    </w:p>
    <w:p>
      <w:r>
        <w:t>Detta dokument behandlar höga naturvärden i avverkningsanmälan A 41415-2024 i Ragunda kommun. Denna avverkningsanmälan inkom 2024-09-25 08:17:16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gräddporing (VU), knärot (VU, §8), dvärgbägarlav (NT), gammelgransskål (NT), garnlav (NT), lunglav (NT), mörk kolflarnlav (NT), nordlig nållav (NT), orange taggsvamp (NT), reliktbock (NT), vaddporing (NT), vedskivlav (NT), bårdlav (S), dropptaggsvamp (S), korallblylav (S) och spindelblomster (S, §8).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9023"/>
            <wp:docPr id="1" name="Picture 1"/>
            <wp:cNvGraphicFramePr>
              <a:graphicFrameLocks noChangeAspect="1"/>
            </wp:cNvGraphicFramePr>
            <a:graphic>
              <a:graphicData uri="http://schemas.openxmlformats.org/drawingml/2006/picture">
                <pic:pic>
                  <pic:nvPicPr>
                    <pic:cNvPr id="0" name="A 41415-2024 karta.png"/>
                    <pic:cNvPicPr/>
                  </pic:nvPicPr>
                  <pic:blipFill>
                    <a:blip r:embed="rId16"/>
                    <a:stretch>
                      <a:fillRect/>
                    </a:stretch>
                  </pic:blipFill>
                  <pic:spPr>
                    <a:xfrm>
                      <a:off x="0" y="0"/>
                      <a:ext cx="5486400" cy="4109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6994534, E 550466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Nordlig nållav (NT)</w:t>
      </w:r>
      <w:r>
        <w:t xml:space="preserve"> signalerar alltid miljöer med höga naturvärden. På lokalerna förekommer nästan alltid andra rödlistade eller ovanliga arter knutna till gamla skogar. Alla skogsskötselåtgärder på eller i omedelbar närhet av lokalerna utgör ett hot. Några av lavens rikaste förekomster bör skyddas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spindelblomster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4876969"/>
            <wp:docPr id="2" name="Picture 2"/>
            <wp:cNvGraphicFramePr>
              <a:graphicFrameLocks noChangeAspect="1"/>
            </wp:cNvGraphicFramePr>
            <a:graphic>
              <a:graphicData uri="http://schemas.openxmlformats.org/drawingml/2006/picture">
                <pic:pic>
                  <pic:nvPicPr>
                    <pic:cNvPr id="0" name="A 41415-2024 karta knärot.png"/>
                    <pic:cNvPicPr/>
                  </pic:nvPicPr>
                  <pic:blipFill>
                    <a:blip r:embed="rId17"/>
                    <a:stretch>
                      <a:fillRect/>
                    </a:stretch>
                  </pic:blipFill>
                  <pic:spPr>
                    <a:xfrm>
                      <a:off x="0" y="0"/>
                      <a:ext cx="5486400" cy="487696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6994534, E 550466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