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50164-2023 i Ragunda kommun</w:t>
      </w:r>
    </w:p>
    <w:p>
      <w:r>
        <w:t>Detta dokument behandlar höga naturvärden i avverkningsanmälan A 50164-2023 i Ragunda kommun. Denna avverkningsanmälan inkom 2023-10-09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mindre barkplattbagge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3573"/>
            <wp:docPr id="1" name="Picture 1"/>
            <wp:cNvGraphicFramePr>
              <a:graphicFrameLocks noChangeAspect="1"/>
            </wp:cNvGraphicFramePr>
            <a:graphic>
              <a:graphicData uri="http://schemas.openxmlformats.org/drawingml/2006/picture">
                <pic:pic>
                  <pic:nvPicPr>
                    <pic:cNvPr id="0" name="A 50164-2023 karta.png"/>
                    <pic:cNvPicPr/>
                  </pic:nvPicPr>
                  <pic:blipFill>
                    <a:blip r:embed="rId16"/>
                    <a:stretch>
                      <a:fillRect/>
                    </a:stretch>
                  </pic:blipFill>
                  <pic:spPr>
                    <a:xfrm>
                      <a:off x="0" y="0"/>
                      <a:ext cx="5486400" cy="36135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6986900, E 581946 i SWEREF 99 TM.</w:t>
      </w:r>
    </w:p>
    <w:p>
      <w:r>
        <w:rPr>
          <w:b/>
        </w:rPr>
        <w:t xml:space="preserve">Mindre barkplattbagge (VU) </w:t>
      </w:r>
      <w:r>
        <w:t>påträffas främst i gamla, senvuxna lavgranskogar med rikligt av död ved. Dess larvutveckling sker under barken på granlågor med tunn bark (barktjocklek 1–6 mm), ofta i toppartiet av granlågor. Arten hotas av storskaligt skogsbruk, då det ofta medför minskad tillgång på granlågor, ändrat trädslagsval och snabbare omloppstid. Naturskogsliknande granbestånd med riklig förekomst av lågor bör undantas från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