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62949-2021 i Ragunda kommun</w:t>
      </w:r>
    </w:p>
    <w:p>
      <w:r>
        <w:t>Detta dokument behandlar höga naturvärden i avverkningsanmälan A 62949-2021 i Ragunda kommun. Denna avverkningsanmälan inkom 2021-11-04 00:00:00 och omfattar 32,7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kopparspindling (VU), tvillingspindling (VU), blekspindling agg. (NT), blågrå svartspik (NT), garnlav (NT), kolflarnlav (NT), mörk kolflarnlav (NT), persiljespindling (NT), rosenticka (NT), vedflamlav (NT), vedskivlav (NT), dropptaggsvamp (S), guckusko (S, §7), källmossa (S), plattlummer (S, §9), strimspindling (S), svavelriska (S) och toppvaxing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62949-2021 karta.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7032504, E 528285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Kopparspindling (VU) </w:t>
      </w:r>
      <w:r>
        <w:t>bildar mykorrhiza med tall och gran i äldre ängsgranskog på kalkrik mark, mer sällan i ren kalktallskog.</w:t>
      </w:r>
      <w:r>
        <w:rPr>
          <w:b/>
        </w:rPr>
        <w:t xml:space="preserve"> </w:t>
      </w:r>
      <w:r>
        <w:t>Minskningstakten uppgår till 30 % inom 50 år och överstiger gränsvärdet för Sårbar (VU) enligt A-kriteriet. (A2c+3c+4c).</w:t>
      </w:r>
      <w:r>
        <w:rPr>
          <w:b/>
        </w:rPr>
        <w:t xml:space="preserve"> </w:t>
      </w:r>
      <w:r>
        <w:t>Intensivt skogsbruk, särskilt kalavverkning och markberedning missgynnar arten och lokaler som även hyser ett stort antal andra hotade arter bör helt undantas från skogsbruk.</w:t>
      </w:r>
      <w:r>
        <w:rPr>
          <w:b/>
        </w:rPr>
        <w:t xml:space="preserve"> </w:t>
      </w:r>
      <w:r>
        <w:t>Kopparspindling är globalt rödlistad som nära hotad (NT) vilket innebär att Sverige har ett internationellt ansvar för arten (SLU Artdatabanken, 2024; IUCN, 2015).</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Persiljespindling (NT)</w:t>
      </w:r>
      <w:r>
        <w:t xml:space="preserve"> bildar mykorrhiza med tall, gran och bok i ängsgranskog, kalktallskog och i ängsbokskog på rikare mark. Minskningstakten uppgår till 15 % inom 50 år och bedöms vara nära gränsvärdet för Sårbar (VU). (A2c+3c+4c). Persiljespindlingen hotas av avverkningar och är särskilt känslig eftersom den är knuten till äldre, produktiv barrskog, d.v.s. en skogstyp som är en bristvara i skyddade områden i Sverige och som samtidigt försvinner i snabb takt genom slutavverkningar. Skyddet för äldre ört- och kalkrika barrskogar med trädkontinuitet måste öka och oskyddade bokskogar med persiljespindling måste få ett formellt skydd i form av biotopskydd eller naturreservat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Tvillingspindling (VU)</w:t>
      </w:r>
      <w:r>
        <w:t xml:space="preserve"> bildar mykorrhiza med gran och växer enbart i örtrika grandominerade kalkbarrskogar med kontinuitet och hög bonitet, miljöer som idag är starkt hotade av slutavverkningar. Tvillingspindlingen liksom en lång rad av dess följearter knutna till kalk- och örtrika barrblandskogar med lång kontinuitet är beroende av områdesskydd eller naturvårdsavtal som förhindrar slutavverkningar av dess växtmiljöer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guckusko (S, §7) och plattlummer (S,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0.46 ha med buffertzonerna och får av detta skäl inte avverkas.</w:t>
      </w:r>
    </w:p>
    <w:p>
      <w:pPr>
        <w:pStyle w:val="Caption"/>
      </w:pPr>
      <w:r>
        <w:drawing>
          <wp:inline xmlns:a="http://schemas.openxmlformats.org/drawingml/2006/main" xmlns:pic="http://schemas.openxmlformats.org/drawingml/2006/picture">
            <wp:extent cx="5486400" cy="3975094"/>
            <wp:docPr id="2" name="Picture 2"/>
            <wp:cNvGraphicFramePr>
              <a:graphicFrameLocks noChangeAspect="1"/>
            </wp:cNvGraphicFramePr>
            <a:graphic>
              <a:graphicData uri="http://schemas.openxmlformats.org/drawingml/2006/picture">
                <pic:pic>
                  <pic:nvPicPr>
                    <pic:cNvPr id="0" name="A 62949-2021 karta knärot.png"/>
                    <pic:cNvPicPr/>
                  </pic:nvPicPr>
                  <pic:blipFill>
                    <a:blip r:embed="rId17"/>
                    <a:stretch>
                      <a:fillRect/>
                    </a:stretch>
                  </pic:blipFill>
                  <pic:spPr>
                    <a:xfrm>
                      <a:off x="0" y="0"/>
                      <a:ext cx="5486400" cy="39750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7032504, E 528285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