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12372-2024 i Ragunda kommun</w:t>
      </w:r>
    </w:p>
    <w:p>
      <w:r>
        <w:t>Detta dokument behandlar höga naturvärden i avverkningsanmälan A 12372-2024 i Ragunda kommun. Denna avverkningsanmälan inkom 2024-03-27 00:00:00 och omfattar 11,4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avverkningsanmälan har följande 9 naturvårdsarter hittats: knärot (VU, §8), garnlav (NT), kolflarnlav (NT), lunglav (NT), tretåig hackspett (NT, §4), vedskivlav (NT), bollvitmossa (S), korallrot (S, §8) och spädstarr (S). Av dessa är 6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180939"/>
            <wp:docPr id="1" name="Picture 1"/>
            <wp:cNvGraphicFramePr>
              <a:graphicFrameLocks noChangeAspect="1"/>
            </wp:cNvGraphicFramePr>
            <a:graphic>
              <a:graphicData uri="http://schemas.openxmlformats.org/drawingml/2006/picture">
                <pic:pic>
                  <pic:nvPicPr>
                    <pic:cNvPr id="0" name="A 12372-2024 karta.png"/>
                    <pic:cNvPicPr/>
                  </pic:nvPicPr>
                  <pic:blipFill>
                    <a:blip r:embed="rId16"/>
                    <a:stretch>
                      <a:fillRect/>
                    </a:stretch>
                  </pic:blipFill>
                  <pic:spPr>
                    <a:xfrm>
                      <a:off x="0" y="0"/>
                      <a:ext cx="5486400" cy="318093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7010073, E 569021 i SWEREF 99 TM.</w:t>
      </w:r>
    </w:p>
    <w:p>
      <w:r>
        <w:rPr>
          <w:b/>
        </w:rPr>
        <w:t xml:space="preserve">Bollvitmossa </w:t>
      </w:r>
      <w:r>
        <w:t xml:space="preserve">är en bra signalart inom hela sitt utbredningsområde. Vanligast är den i naturvårdsintressanta tallsumpskogar. Även gransumpskogar med bollvitmossa har normalt höga naturvärden. Arten indikerar skogsmark med stabila hydrologiska förhållanden och sannolikt även lång skoglig kontinuitet. Bollvitmossa är typisk art för </w:t>
      </w:r>
      <w:r>
        <w:rPr>
          <w:i/>
        </w:rPr>
        <w:t xml:space="preserve">9010 Taiga </w:t>
      </w:r>
      <w:r>
        <w:t xml:space="preserve">och </w:t>
      </w:r>
      <w:r>
        <w:rPr>
          <w:i/>
        </w:rPr>
        <w:t xml:space="preserve">9740 Skogsbevuxen myr </w:t>
      </w:r>
      <w:r>
        <w:t>(SLU Artdatabanken, 2025; Nitare &amp; Skogsstyrelsen, 2019).</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 xml:space="preserve">Spädstarr </w:t>
      </w:r>
      <w:r>
        <w:t xml:space="preserve">är typisk art för </w:t>
      </w:r>
      <w:r>
        <w:rPr>
          <w:i/>
        </w:rPr>
        <w:t xml:space="preserve">9080 Lövsumpskog </w:t>
      </w:r>
      <w:r>
        <w:t>(SLU Artdatabanken, 2025).</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pPr>
        <w:pStyle w:val="Heading1"/>
      </w:pPr>
      <w:r>
        <w:t>Fridlysta arter</w:t>
      </w:r>
    </w:p>
    <w:p>
      <w:r>
        <w:t>Följande fridlysta arter har sina livsmiljöer och växtplatser i den avverkningsanmälda skogen: knärot (VU, §8), tretåig hackspett (NT, §4) och korallrot (S, §8).</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0.77 ha med buffertzonerna och får av detta skäl inte avverkas.</w:t>
      </w:r>
    </w:p>
    <w:p>
      <w:pPr>
        <w:pStyle w:val="Caption"/>
      </w:pPr>
      <w:r>
        <w:drawing>
          <wp:inline xmlns:a="http://schemas.openxmlformats.org/drawingml/2006/main" xmlns:pic="http://schemas.openxmlformats.org/drawingml/2006/picture">
            <wp:extent cx="5486400" cy="3648103"/>
            <wp:docPr id="2" name="Picture 2"/>
            <wp:cNvGraphicFramePr>
              <a:graphicFrameLocks noChangeAspect="1"/>
            </wp:cNvGraphicFramePr>
            <a:graphic>
              <a:graphicData uri="http://schemas.openxmlformats.org/drawingml/2006/picture">
                <pic:pic>
                  <pic:nvPicPr>
                    <pic:cNvPr id="0" name="A 12372-2024 karta knärot.png"/>
                    <pic:cNvPicPr/>
                  </pic:nvPicPr>
                  <pic:blipFill>
                    <a:blip r:embed="rId17"/>
                    <a:stretch>
                      <a:fillRect/>
                    </a:stretch>
                  </pic:blipFill>
                  <pic:spPr>
                    <a:xfrm>
                      <a:off x="0" y="0"/>
                      <a:ext cx="5486400" cy="3648103"/>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7010073, E 569021 i SWEREF 99 TM.</w:t>
      </w:r>
    </w:p>
    <w:p>
      <w:pPr>
        <w:pStyle w:val="Caption"/>
      </w:pP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Korallrot är typisk art för </w:t>
      </w:r>
      <w:r>
        <w:rPr>
          <w:i/>
        </w:rPr>
        <w:t>9080 Lövsumpskog</w:t>
      </w:r>
      <w:r>
        <w:t xml:space="preserve"> och fridlyst enligt 8 § artskyddsförordningen (SLU Artdatabanken, 2024;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t>I BILAGA 1 finns mer detaljerad information om ekologi samt krav på livsmiljö hos fridlysta arter.</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