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55408-2024 i Ragunda kommun</w:t>
      </w:r>
    </w:p>
    <w:p>
      <w:r>
        <w:t>Detta dokument behandlar höga naturvärden i avverkningsanmälan A 55408-2024 i Ragunda kommun. Denna avverkningsanmälan inkom 2024-11-26 00:00:00 och omfattar 3,1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24 naturvårdsarter hittats: luddig stiftdynlav (VU), smalskaftslav (VU), brunpudrad nållav (NT), gammelgransskål (NT), garnlav (NT), harticka (NT), liten svartspik (NT), lunglav (NT), mörk kolflarnlav (NT), reliktbock (NT), skrovellav (NT), talltita (NT, §4), tretåig hackspett (NT, §4), ullticka (NT), vedtrappmossa (NT), violmussling (NT), vitgrynig nållav (NT), vitskaftad svartspik (NT), barkkornlav (S), bårdlav (S), kornig nållav (S), luddlav (S), rostfläck (S) och lavskrika (§4).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0214"/>
            <wp:docPr id="1" name="Picture 1"/>
            <wp:cNvGraphicFramePr>
              <a:graphicFrameLocks noChangeAspect="1"/>
            </wp:cNvGraphicFramePr>
            <a:graphic>
              <a:graphicData uri="http://schemas.openxmlformats.org/drawingml/2006/picture">
                <pic:pic>
                  <pic:nvPicPr>
                    <pic:cNvPr id="0" name="A 55408-2024 karta.png"/>
                    <pic:cNvPicPr/>
                  </pic:nvPicPr>
                  <pic:blipFill>
                    <a:blip r:embed="rId16"/>
                    <a:stretch>
                      <a:fillRect/>
                    </a:stretch>
                  </pic:blipFill>
                  <pic:spPr>
                    <a:xfrm>
                      <a:off x="0" y="0"/>
                      <a:ext cx="5486400" cy="52502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6998715, E 528835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 xml:space="preserve">Kornig nållav </w:t>
      </w:r>
      <w:r>
        <w:t>förekommer i skuggiga miljöer med hög luftfuktighet och påträffas främst i gamla skogar eller på gamla träd. Den signalerar höga naturvärden och på lokalerna finns ofta flera ovanliga och rödlistade arter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Luddig stiftdynlav (VU)</w:t>
      </w:r>
      <w:r>
        <w:t xml:space="preserve"> växer på granstubbar i gamla mer eller mindre rena brandrefugiala boreala granskogar med hög luftfuktighet. Arealminskningen av bördiga gamla granskogar är kraftig och detta måste ha gjort att även luddig stiftdynlav har gått tillbaka. Slutavverkningar på växtplatserna eller i dess närhet hotar arten, sannolikt på grund av förändringar till ett torrare mikroklimat. Alla lokaler för luddig stiftdynlav måste bevaras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pPr>
        <w:pStyle w:val="Heading1"/>
      </w:pPr>
      <w:r>
        <w:t>Fridlysta arter</w:t>
      </w:r>
    </w:p>
    <w:p>
      <w:r>
        <w:t>Följande fridlysta arter har sina livsmiljöer och växtplatser i den avverkningsanmälda skogen: talltita (NT, §4),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0.09 ha med buffertzonerna och får av detta skäl inte avverkas.</w:t>
      </w:r>
    </w:p>
    <w:p>
      <w:pPr>
        <w:pStyle w:val="Caption"/>
      </w:pPr>
      <w:r>
        <w:drawing>
          <wp:inline xmlns:a="http://schemas.openxmlformats.org/drawingml/2006/main" xmlns:pic="http://schemas.openxmlformats.org/drawingml/2006/picture">
            <wp:extent cx="5486400" cy="6657303"/>
            <wp:docPr id="2" name="Picture 2"/>
            <wp:cNvGraphicFramePr>
              <a:graphicFrameLocks noChangeAspect="1"/>
            </wp:cNvGraphicFramePr>
            <a:graphic>
              <a:graphicData uri="http://schemas.openxmlformats.org/drawingml/2006/picture">
                <pic:pic>
                  <pic:nvPicPr>
                    <pic:cNvPr id="0" name="A 55408-2024 karta knärot.png"/>
                    <pic:cNvPicPr/>
                  </pic:nvPicPr>
                  <pic:blipFill>
                    <a:blip r:embed="rId17"/>
                    <a:stretch>
                      <a:fillRect/>
                    </a:stretch>
                  </pic:blipFill>
                  <pic:spPr>
                    <a:xfrm>
                      <a:off x="0" y="0"/>
                      <a:ext cx="5486400" cy="665730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6998715, E 528835 i SWEREF 99 TM.</w:t>
      </w:r>
    </w:p>
    <w:p>
      <w:pPr>
        <w:pStyle w:val="Caption"/>
      </w:pP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24 naturvårdsarter varav 18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