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41406-2023 i Ragunda kommun</w:t>
      </w:r>
    </w:p>
    <w:p>
      <w:r>
        <w:t>Detta klagomål behandlar höga naturvärden i avverkningsanmälan A 41406-2023 i Ragunda kommun som inkom 2023-09-05 och omfattar 8,0 ha.</w:t>
      </w:r>
    </w:p>
    <w:p>
      <w:pPr>
        <w:pStyle w:val="Caption"/>
      </w:pPr>
      <w:r>
        <w:drawing>
          <wp:inline xmlns:a="http://schemas.openxmlformats.org/drawingml/2006/main" xmlns:pic="http://schemas.openxmlformats.org/drawingml/2006/picture">
            <wp:extent cx="4734594" cy="5724000"/>
            <wp:docPr id="1" name="Picture 1"/>
            <wp:cNvGraphicFramePr>
              <a:graphicFrameLocks noChangeAspect="1"/>
            </wp:cNvGraphicFramePr>
            <a:graphic>
              <a:graphicData uri="http://schemas.openxmlformats.org/drawingml/2006/picture">
                <pic:pic>
                  <pic:nvPicPr>
                    <pic:cNvPr id="0" name="A 41406-2023 karta.png"/>
                    <pic:cNvPicPr/>
                  </pic:nvPicPr>
                  <pic:blipFill>
                    <a:blip r:embed="rId16"/>
                    <a:stretch>
                      <a:fillRect/>
                    </a:stretch>
                  </pic:blipFill>
                  <pic:spPr>
                    <a:xfrm>
                      <a:off x="0" y="0"/>
                      <a:ext cx="4734594"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7011993, E 569156 i SWEREF 99 TM.</w:t>
      </w:r>
    </w:p>
    <w:p>
      <w:r>
        <w:t>I och inom 25 meter från avverkningsanmälan finns fynd av 11 naturvårdsarter, varav 9 är rödlistade, 8 är typiska (T) och 2 är signalarter (S): dropptaggsvamp (NT, T), dvärgbägarlav (NT, T), grönhjon (NT), lunglav (NT, T), nordtagging (NT), rosa skärelav (NT, T), rosenticka (NT, T), ullticka (NT, T), vitgrynig nållav (NT), gulnål (S, T) och kornig nållav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