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pPr>
        <w:pStyle w:val="Heading1"/>
      </w:pPr>
      <w:r>
        <w:t>Fridlysta arter</w:t>
      </w:r>
    </w:p>
    <w:p>
      <w:r>
        <w:t>Följande fridlysta arter har sina livsmiljöer och växtplatser i den avverkningsanmälda skogen: knärot (VU, §8), talltita (NT, §4), grönkulla (S, §8), plattlummer (S, §9), nattviol (§8) och revlummer (§9).</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6991627, E 569159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