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41415-2024 i Ragunda kommun</w:t>
      </w:r>
    </w:p>
    <w:p>
      <w:r>
        <w:t>Denna tillsynsbegäran behandlar höga naturvärden i avverkningsanmälan A 41415-2024 i Ragunda kommun som inkom 2024-09-25 och omfattar 4,3 ha.</w:t>
      </w:r>
    </w:p>
    <w:p>
      <w:pPr>
        <w:pStyle w:val="Caption"/>
      </w:pPr>
      <w:r>
        <w:drawing>
          <wp:inline xmlns:a="http://schemas.openxmlformats.org/drawingml/2006/main" xmlns:pic="http://schemas.openxmlformats.org/drawingml/2006/picture">
            <wp:extent cx="5325077" cy="5724000"/>
            <wp:docPr id="1" name="Picture 1"/>
            <wp:cNvGraphicFramePr>
              <a:graphicFrameLocks noChangeAspect="1"/>
            </wp:cNvGraphicFramePr>
            <a:graphic>
              <a:graphicData uri="http://schemas.openxmlformats.org/drawingml/2006/picture">
                <pic:pic>
                  <pic:nvPicPr>
                    <pic:cNvPr id="0" name="A 41415-2024 karta.png"/>
                    <pic:cNvPicPr/>
                  </pic:nvPicPr>
                  <pic:blipFill>
                    <a:blip r:embed="rId16"/>
                    <a:stretch>
                      <a:fillRect/>
                    </a:stretch>
                  </pic:blipFill>
                  <pic:spPr>
                    <a:xfrm>
                      <a:off x="0" y="0"/>
                      <a:ext cx="5325077"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6994534, E 550466 i SWEREF 99 TM.</w:t>
      </w:r>
    </w:p>
    <w:p>
      <w:r>
        <w:t>I och inom 21 meter från avverkningsanmälan finns fynd av 23 naturvårdsarter, varav 19 är rödlistade, 2 är fridlysta, 16 är typiska (T) och 4 är signalarter (S): garnlav (VU, T), gräddporing (VU, T), knärot (VU, T, §8), skrovlig taggsvamp (VU), dropptaggsvamp (NT, T), dvärgbägarlav (NT, T), gammelgransskål (NT, T), kolflarnlav (NT, T), kryddspindling (NT, T), lunglav (NT, T), mörk kolflarnlav (NT), nordlig nållav (NT), orange taggsvamp (NT, T), reliktbock (NT, T), rödfläckig zontaggsvamp (NT), skarp dropptaggsvamp (NT), vaddporing (NT), vedskivlav (NT, T), vitgrynig nållav (NT), bårdlav (S, T), korallblylav (S, T), norrlandslav (S,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5294093"/>
            <wp:docPr id="2" name="Picture 2"/>
            <wp:cNvGraphicFramePr>
              <a:graphicFrameLocks noChangeAspect="1"/>
            </wp:cNvGraphicFramePr>
            <a:graphic>
              <a:graphicData uri="http://schemas.openxmlformats.org/drawingml/2006/picture">
                <pic:pic>
                  <pic:nvPicPr>
                    <pic:cNvPr id="0" name="A 41415-2024 karta knärot.png"/>
                    <pic:cNvPicPr/>
                  </pic:nvPicPr>
                  <pic:blipFill>
                    <a:blip r:embed="rId17"/>
                    <a:stretch>
                      <a:fillRect/>
                    </a:stretch>
                  </pic:blipFill>
                  <pic:spPr>
                    <a:xfrm>
                      <a:off x="0" y="0"/>
                      <a:ext cx="5486400" cy="52940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6994534, E 550466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dvärgbägarlav (NT, T), gammelgransskål (NT, T), kolflarnlav (NT, T), kryddspindling (NT, T), lunglav (NT, T), orange taggsvamp (NT, T), reliktbock (NT, T), vedskivlav (NT, T), bårdlav (S, T), korallblylav (S, T), norrlandslav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