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62948-2021 i Ragunda kommun</w:t>
      </w:r>
    </w:p>
    <w:p>
      <w:r>
        <w:t>Detta dokument behandlar höga naturvärden i avverkningsanmälan A 62948-2021 i Ragunda kommun. Denna avverkningsanmälan inkom 2021-11-04 00:00:00 och omfattar 3,5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9 naturvårdsarter hittats: brunpudrad nållav (NT), garnlav (NT), ullticka (NT), vitgrynig nållav (NT), dropptaggsvamp (S), grönkulla (S, §8), guckusko (S, §7), gulnål (S) och tibast (S). Av dessa är 4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29248"/>
            <wp:docPr id="1" name="Picture 1"/>
            <wp:cNvGraphicFramePr>
              <a:graphicFrameLocks noChangeAspect="1"/>
            </wp:cNvGraphicFramePr>
            <a:graphic>
              <a:graphicData uri="http://schemas.openxmlformats.org/drawingml/2006/picture">
                <pic:pic>
                  <pic:nvPicPr>
                    <pic:cNvPr id="0" name="A 62948-2021 karta.png"/>
                    <pic:cNvPicPr/>
                  </pic:nvPicPr>
                  <pic:blipFill>
                    <a:blip r:embed="rId16"/>
                    <a:stretch>
                      <a:fillRect/>
                    </a:stretch>
                  </pic:blipFill>
                  <pic:spPr>
                    <a:xfrm>
                      <a:off x="0" y="0"/>
                      <a:ext cx="5486400" cy="442924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7010434, E 544430 i SWEREF 99 TM.</w:t>
      </w:r>
    </w:p>
    <w:p>
      <w:r>
        <w:rPr>
          <w:b/>
        </w:rPr>
        <w:t>Brunpudrad nållav (NT)</w:t>
      </w:r>
      <w:r>
        <w:t xml:space="preserve"> är beroende av hög, jämn luftfuktighet och kan påträffas i fuktiga skogar av naturskogskaraktär, ofta i sumpgranskog eller andra sumpskogar. Arten är placerad högst upp i Skogsstyrelsens värdepyramid för bedömning av skog med höga naturvärden och förekomster bör undantas från skogsbruksåtgärder (SLU Artdatabanken, 2024;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Tibast</w:t>
      </w:r>
      <w:r>
        <w:t xml:space="preserve"> är en kalkgynnad buske som växer på mullrik, frisk eller svagt fuktig mark, exempelvis i gamla kalkgranskogar, lövträdslundar, varma källpåverkade sluttningar och exklusiva biotoper kopplade till vattendrag. Förekomster i gammal skog visar på höga naturvärden och bör alltid noteras i samband med naturvärdesinventeringar. Tibast är värdväxt för de två fjärilsarterna större tibastmal och brun tibastmal (CR) (SLU Artdatabanken, 2024;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p>
      <w:pPr>
        <w:pStyle w:val="Heading1"/>
      </w:pPr>
      <w:r>
        <w:t>Fridlysta arter</w:t>
      </w:r>
    </w:p>
    <w:p>
      <w:r>
        <w:t>Följande fridlysta arter har sina livsmiljöer och växtplatser i den avverkningsanmälda skogen: grönkulla (S, §8) och guckusko (S, §7).</w:t>
      </w:r>
    </w:p>
    <w:p>
      <w:r>
        <w:rPr>
          <w:b/>
        </w:rPr>
        <w:t>Guckusko (§7)</w:t>
      </w:r>
      <w:r>
        <w:t xml:space="preserve"> omfattas av EU:s art- och habitatdirektiv och är fridlyst enligt §7 Artskyddsförordningen (bilaga 1) vilket innebär att hela dess livsmiljö ska bevaras. Guckusko är beroende av hög och jämn luftfuktighet i gamla, ostörda skogsmiljöer och är känslig för snabba förändringar av ljus-/vindförhållanden eller uttorkning. Den förekommer främst i skogar som inte påverkats av kraftig störning, till exempel slutavverkning, markberedning, körskador, gödsling eller dikning. Guckusko är rödlistad som nära hotad (NT) i den europeiska rödlistan och Sverige hyser mer än halva den beräknade populationen av arten i EU, vilket innebär att vi har ett internationellt ansvar för arten (SLU Artdatabanken, 2021; IUCN, 2011).</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0.17 ha med buffertzonerna och får av detta skäl inte avverkas.</w:t>
      </w:r>
    </w:p>
    <w:p>
      <w:pPr>
        <w:pStyle w:val="Caption"/>
      </w:pPr>
      <w:r>
        <w:drawing>
          <wp:inline xmlns:a="http://schemas.openxmlformats.org/drawingml/2006/main" xmlns:pic="http://schemas.openxmlformats.org/drawingml/2006/picture">
            <wp:extent cx="5486400" cy="5310543"/>
            <wp:docPr id="2" name="Picture 2"/>
            <wp:cNvGraphicFramePr>
              <a:graphicFrameLocks noChangeAspect="1"/>
            </wp:cNvGraphicFramePr>
            <a:graphic>
              <a:graphicData uri="http://schemas.openxmlformats.org/drawingml/2006/picture">
                <pic:pic>
                  <pic:nvPicPr>
                    <pic:cNvPr id="0" name="A 62948-2021 karta knärot.png"/>
                    <pic:cNvPicPr/>
                  </pic:nvPicPr>
                  <pic:blipFill>
                    <a:blip r:embed="rId17"/>
                    <a:stretch>
                      <a:fillRect/>
                    </a:stretch>
                  </pic:blipFill>
                  <pic:spPr>
                    <a:xfrm>
                      <a:off x="0" y="0"/>
                      <a:ext cx="5486400" cy="5310543"/>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7010434, E 544430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Guckusko – ekologi samt krav på livsmiljön</w:t>
      </w:r>
    </w:p>
    <w:p>
      <w:r>
        <w:t>Guckusko omfattas av EU:s art- och habitatdirektiv och är fridlyst enligt §7 Artskyddsförordningen (bilaga 1) vilket innebär att hela dess livsmiljö ska bevaras. Guckusko är beroende av hög och jämn luftfuktighet i gamla, ostörda skogsmiljöer och är känslig för snabba förändringar av ljus-/vindförhållanden eller uttorkning. Den förekommer främst i skogar som inte påverkats av kraftig störning, till exempel slutavverkning, markberedning, körskador, gödsling eller dikning (SLU Artdatabanken, 2021).</w:t>
      </w:r>
    </w:p>
    <w:p>
      <w:r>
        <w:t>Dikning och slutavverkning av guckuskons växtplatser är ett direkt hot mot arten och bör undvikas. Kalavverkning missgynnar arten, dels om hyggesavfall lämnas, vilket kan kväva enskilda bestånd, dels indirekt genom att mer konkurrensstarka arter gynnas. Körskador av skogsmaskiner och hyggesplöjning kan leda till lokalt ändrad hydrologi, då de mullrika, fuktiga jordarna är mjuka. Sverige hyser mer än halva den beräknade populationen av arten i EU, vilket innebär att vi har ett internationellt ansvar för arten (SLU Artdatabanken, 2021).</w:t>
      </w:r>
    </w:p>
    <w:p>
      <w:pPr>
        <w:pStyle w:val="Heading2"/>
      </w:pPr>
      <w:r>
        <w:t>Referenser – guckusko</w:t>
      </w:r>
    </w:p>
    <w:p>
      <w:r>
        <w:t xml:space="preserve">SLU Artdatabanken, 2021. </w:t>
      </w:r>
      <w:r>
        <w:rPr>
          <w:i/>
        </w:rPr>
        <w:t xml:space="preserve">Artfaktablad. Naturvård – artfakta. </w:t>
      </w:r>
      <w:r>
        <w:t>SLU Artdatabanken, Uppsala</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2025-11-09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