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34464-2025 i Ragunda kommun</w:t>
      </w:r>
    </w:p>
    <w:p>
      <w:r>
        <w:t>Detta klagomål behandlar höga naturvärden i avverkningsanmälan A 34464-2025 i Ragunda kommun som inkom 2025-07-09 och omfattar 2,1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34464-2025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6974199, E 580741 i SWEREF 99 TM.</w:t>
      </w:r>
    </w:p>
    <w:p>
      <w:r>
        <w:t>Inom 25 meter från avverkningsanmälan finns fynd av 2 naturvårdsarter, varav 2 är rödlistade: liten hornflikmossa (VU) och timmerskapania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Timmerskapania (VU)</w:t>
      </w:r>
      <w:r>
        <w:t xml:space="preserve"> växer på hård ved som tidvis blöts ned och hittas ofta på omkullfallna trädstammar intill vattendrag och skogstjärnar, i skuggigt läge.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Timmerskapania omfattas av ett åtgärdsprogram för hotade arter (ÅGP) och är rödlistad som nära hotad (NT) i den europeiska rödlistan vilket innebär att Sverige har ett internationellt ansvar för arten (SLU Artdatabanken, 2026; IUCN, 2017; Naturvårdsverket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