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14075-2023 i Ragunda kommun</w:t>
      </w:r>
    </w:p>
    <w:p>
      <w:r>
        <w:t>Detta dokument behandlar höga naturvärden i avverkningsanmälan A 14075-2023 i Ragunda kommun. Denna avverkningsanmälan inkom 2023-03-24 och omfattar 9,5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gräddporing (VU)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0067"/>
            <wp:docPr id="1" name="Picture 1"/>
            <wp:cNvGraphicFramePr>
              <a:graphicFrameLocks noChangeAspect="1"/>
            </wp:cNvGraphicFramePr>
            <a:graphic>
              <a:graphicData uri="http://schemas.openxmlformats.org/drawingml/2006/picture">
                <pic:pic>
                  <pic:nvPicPr>
                    <pic:cNvPr id="0" name="A 14075-2023 karta.png"/>
                    <pic:cNvPicPr/>
                  </pic:nvPicPr>
                  <pic:blipFill>
                    <a:blip r:embed="rId16"/>
                    <a:stretch>
                      <a:fillRect/>
                    </a:stretch>
                  </pic:blipFill>
                  <pic:spPr>
                    <a:xfrm>
                      <a:off x="0" y="0"/>
                      <a:ext cx="5486400" cy="478006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7038241, E 534965 i SWEREF 99 TM.</w:t>
      </w:r>
    </w:p>
    <w:p>
      <w:r>
        <w:rPr>
          <w:b/>
        </w:rPr>
        <w:t>Gräddporing (VU)</w:t>
      </w:r>
      <w:r>
        <w:t xml:space="preserve"> växer nästan enbart i urskogsartad barrskog på gamla, kraftigt murkna, grova och mossbelupna tallågor i något fuktiga och skuggiga lägen. Arten är placerad högst upp i Skogsstyrelsens värdepyramid för bedömning av skog med höga naturvärden och indikerar gamla och relativt orörda tallnaturskogar med höga naturvärden där det under låg tid kontinuerligt funnits inslag av grova tallågor. För att på sikt hejda artens vikande trend behöver merparten av gräddporingens nu kända växtplatser undantas från skogsbruk (SLU Artdatabanken, 2024;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