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2123-2026 i Ragunda kommun</w:t>
      </w:r>
    </w:p>
    <w:p>
      <w:r>
        <w:t>Detta klagomål behandlar höga naturvärden i avverkningsanmälan A 2123-2026 i Ragunda kommun som inkom 2026-01-14 och omfattar 5,1 ha.</w:t>
      </w:r>
    </w:p>
    <w:p>
      <w:pPr>
        <w:pStyle w:val="Caption"/>
      </w:pPr>
      <w:r>
        <w:drawing>
          <wp:inline xmlns:a="http://schemas.openxmlformats.org/drawingml/2006/main" xmlns:pic="http://schemas.openxmlformats.org/drawingml/2006/picture">
            <wp:extent cx="5486400" cy="2820500"/>
            <wp:docPr id="1" name="Picture 1"/>
            <wp:cNvGraphicFramePr>
              <a:graphicFrameLocks noChangeAspect="1"/>
            </wp:cNvGraphicFramePr>
            <a:graphic>
              <a:graphicData uri="http://schemas.openxmlformats.org/drawingml/2006/picture">
                <pic:pic>
                  <pic:nvPicPr>
                    <pic:cNvPr id="0" name="A 2123-2026 karta.png"/>
                    <pic:cNvPicPr/>
                  </pic:nvPicPr>
                  <pic:blipFill>
                    <a:blip r:embed="rId16"/>
                    <a:stretch>
                      <a:fillRect/>
                    </a:stretch>
                  </pic:blipFill>
                  <pic:spPr>
                    <a:xfrm>
                      <a:off x="0" y="0"/>
                      <a:ext cx="5486400" cy="28205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7010579, E 515002 i SWEREF 99 TM.</w:t>
      </w:r>
    </w:p>
    <w:p>
      <w:r>
        <w:t>I och inom 4 meter från avverkningsanmälan finns fynd av 11 naturvårdsarter, varav 6 är rödlistade, 4 är fridlysta, 4 är typiska (T) och 1 är signalart (S): violett guldvinge (VU, §4a), ängsblåvinge (VU), berggräsfjäril (NT), klådris (NT), månlåsbräken (NT), slåtterfibbla (NT, T), grönkulla (S, T, §8), bergsslok (T), kattfot (T),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Bergsslok </w:t>
      </w:r>
      <w:r>
        <w:t xml:space="preserve">är typisk art för </w:t>
      </w:r>
      <w:r>
        <w:rPr>
          <w:i/>
        </w:rPr>
        <w:t>9190 Näringsfattig ekskog</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