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25649-2022 i Ragunda kommun</w:t>
      </w:r>
    </w:p>
    <w:p>
      <w:r>
        <w:t>Detta dokument behandlar höga naturvärden i avverkningsanmälan A 25649-2022 i Ragunda kommun. Denna avverkningsanmälan inkom 2022-06-20 och omfattar 2,9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10 naturvårdsarter hittats: knärot (VU, §8), rynkskinn (VU), ulltickeporing (VU), blanksvart spiklav (NT), garnlav (NT), talltita (NT, §4), ullticka (NT), dropptaggsvamp (S), tallfingersvamp (S) och revlummer (§9). Av dessa är 7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85690"/>
            <wp:docPr id="1" name="Picture 1"/>
            <wp:cNvGraphicFramePr>
              <a:graphicFrameLocks noChangeAspect="1"/>
            </wp:cNvGraphicFramePr>
            <a:graphic>
              <a:graphicData uri="http://schemas.openxmlformats.org/drawingml/2006/picture">
                <pic:pic>
                  <pic:nvPicPr>
                    <pic:cNvPr id="0" name="A 25649-2022 karta.png"/>
                    <pic:cNvPicPr/>
                  </pic:nvPicPr>
                  <pic:blipFill>
                    <a:blip r:embed="rId16"/>
                    <a:stretch>
                      <a:fillRect/>
                    </a:stretch>
                  </pic:blipFill>
                  <pic:spPr>
                    <a:xfrm>
                      <a:off x="0" y="0"/>
                      <a:ext cx="5486400" cy="468569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6987531, E 593543 i SWEREF 99 TM.</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Rynkskinn (VU)</w:t>
      </w:r>
      <w:r>
        <w:t>, rödlistad som sårbar,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(Nitare &amp; Skogsstyrelsen, 2019; SLU Artdatabanken, 2024).</w:t>
      </w:r>
    </w:p>
    <w:p>
      <w:r>
        <w:rPr>
          <w:b/>
        </w:rPr>
        <w:t xml:space="preserve">Tallfingersvamp </w:t>
      </w:r>
      <w:r>
        <w:t>bildar mykorrhiza med tall och gran i barrskog, framför allt sandtallskog men även i annan näringsfattig barrskog. Arten är en av landets vanligaste korallfingersvampar i äldre barrskog. Trots detta är den troligen minskande då den i huvudsak är knuten till äldre skog, främst kontinuitetsbarrskogar. Slutavverkning, gödsling eller exploatering måste undvikas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r>
        <w:rPr>
          <w:b/>
        </w:rPr>
        <w:t xml:space="preserve">Ulltickeporing </w:t>
      </w:r>
      <w:r>
        <w:rPr>
          <w:b/>
          <w:i/>
        </w:rPr>
        <w:t>Skeletocutis brevispora</w:t>
      </w:r>
      <w:r>
        <w:rPr>
          <w:b/>
        </w:rPr>
        <w:t xml:space="preserve"> (VU)</w:t>
      </w:r>
      <w:r>
        <w:t>,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2024).</w:t>
      </w:r>
    </w:p>
    <w:p>
      <w:pPr>
        <w:pStyle w:val="Heading1"/>
      </w:pPr>
      <w:r>
        <w:t>Fridlysta arter</w:t>
      </w:r>
    </w:p>
    <w:p>
      <w:r>
        <w:t>Följande fridlysta arter har sina livsmiljöer och växtplatser i den avverkningsanmälda skogen: knärot (VU, §8), talltita (NT, §4)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0.66 ha med buffertzonerna och får av detta skäl inte avverkas.</w:t>
      </w:r>
    </w:p>
    <w:p>
      <w:pPr>
        <w:pStyle w:val="Caption"/>
      </w:pPr>
      <w:r>
        <w:drawing>
          <wp:inline xmlns:a="http://schemas.openxmlformats.org/drawingml/2006/main" xmlns:pic="http://schemas.openxmlformats.org/drawingml/2006/picture">
            <wp:extent cx="5486400" cy="5674303"/>
            <wp:docPr id="2" name="Picture 2"/>
            <wp:cNvGraphicFramePr>
              <a:graphicFrameLocks noChangeAspect="1"/>
            </wp:cNvGraphicFramePr>
            <a:graphic>
              <a:graphicData uri="http://schemas.openxmlformats.org/drawingml/2006/picture">
                <pic:pic>
                  <pic:nvPicPr>
                    <pic:cNvPr id="0" name="A 25649-2022 karta knärot.png"/>
                    <pic:cNvPicPr/>
                  </pic:nvPicPr>
                  <pic:blipFill>
                    <a:blip r:embed="rId17"/>
                    <a:stretch>
                      <a:fillRect/>
                    </a:stretch>
                  </pic:blipFill>
                  <pic:spPr>
                    <a:xfrm>
                      <a:off x="0" y="0"/>
                      <a:ext cx="5486400" cy="5674303"/>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6987531, E 593543 i SWEREF 99 TM.</w:t>
      </w:r>
    </w:p>
    <w:p>
      <w:pPr>
        <w:pStyle w:val="Caption"/>
      </w:pP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Ulltickeporing – ekologi samt krav på livsmiljön</w:t>
      </w:r>
    </w:p>
    <w:p>
      <w:r>
        <w:t xml:space="preserve">Ulltickeporing </w:t>
      </w:r>
      <w:r>
        <w:rPr>
          <w:i/>
        </w:rPr>
        <w:t>Skeletocutis brevispora</w:t>
      </w:r>
      <w:r>
        <w:t xml:space="preserve"> (VU),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2024).</w:t>
      </w:r>
    </w:p>
    <w:p>
      <w:r>
        <w:t xml:space="preserve">Ulltickeporingen har nyligen delats upp i tre olika arter: </w:t>
      </w:r>
      <w:r>
        <w:rPr>
          <w:i/>
        </w:rPr>
        <w:t xml:space="preserve">Skeletocutis brevispora </w:t>
      </w:r>
      <w:r>
        <w:t>(ulltickeporing)</w:t>
      </w:r>
      <w:r>
        <w:rPr>
          <w:i/>
        </w:rPr>
        <w:t>, Skeletocutis delicata och Skeletocutis exilis</w:t>
      </w:r>
      <w:r>
        <w:t xml:space="preserve"> (Miettinen &amp; Niemelä, 2018). Skeletocutis delicata och Skeletocutis exilis står för närvarande (2020) som ej bedömda i rödlistan.</w:t>
      </w:r>
    </w:p>
    <w:p>
      <w:pPr>
        <w:pStyle w:val="Heading2"/>
      </w:pPr>
      <w:r>
        <w:t>Referenser – ulltickeporing</w:t>
      </w:r>
    </w:p>
    <w:p>
      <w:r>
        <w:t xml:space="preserve">Miettinen, O. &amp; Niemelä, T., 2018. </w:t>
      </w:r>
      <w:r>
        <w:rPr>
          <w:i/>
        </w:rPr>
        <w:t>Two new temperate polypore species of Skeletocutis (Polyporales, Basidiomycota)</w:t>
      </w:r>
      <w:r>
        <w:t>. Ann. Bot. Fennici 55: 195–206.</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