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16676-2022 i Ragunda kommun</w:t>
      </w:r>
    </w:p>
    <w:p>
      <w:r>
        <w:t>Detta klagomål behandlar höga naturvärden i avverkningsanmälan A 16676-2022 i Ragunda kommun som inkom 2022-04-21 och omfattar 1,6 ha.</w:t>
      </w:r>
    </w:p>
    <w:p>
      <w:pPr>
        <w:pStyle w:val="Caption"/>
      </w:pPr>
      <w:r>
        <w:drawing>
          <wp:inline xmlns:a="http://schemas.openxmlformats.org/drawingml/2006/main" xmlns:pic="http://schemas.openxmlformats.org/drawingml/2006/picture">
            <wp:extent cx="5486400" cy="4637068"/>
            <wp:docPr id="1" name="Picture 1"/>
            <wp:cNvGraphicFramePr>
              <a:graphicFrameLocks noChangeAspect="1"/>
            </wp:cNvGraphicFramePr>
            <a:graphic>
              <a:graphicData uri="http://schemas.openxmlformats.org/drawingml/2006/picture">
                <pic:pic>
                  <pic:nvPicPr>
                    <pic:cNvPr id="0" name="A 16676-2022 karta.png"/>
                    <pic:cNvPicPr/>
                  </pic:nvPicPr>
                  <pic:blipFill>
                    <a:blip r:embed="rId16"/>
                    <a:stretch>
                      <a:fillRect/>
                    </a:stretch>
                  </pic:blipFill>
                  <pic:spPr>
                    <a:xfrm>
                      <a:off x="0" y="0"/>
                      <a:ext cx="5486400" cy="4637068"/>
                    </a:xfrm>
                    <a:prstGeom prst="rect"/>
                  </pic:spPr>
                </pic:pic>
              </a:graphicData>
            </a:graphic>
          </wp:inline>
        </w:drawing>
      </w:r>
    </w:p>
    <w:p>
      <w:pPr>
        <w:pStyle w:val="Caption"/>
        <w:spacing w:after="240"/>
      </w:pPr>
      <w:r>
        <w:t>Figur 1. Fyndplatser för naturvårdsarter inom 10 meter från avverkningsanmälan. Markörer utan svart kant är placerade på fyndplatsen. Markörer med svart kant är placerade vid sidan av fyndplatsen och har ett svart streck som visar fyndplatsens exakta position. Kartans mittpunktskoordinat är N 7015743, E 543104 i SWEREF 99 TM.</w:t>
      </w:r>
    </w:p>
    <w:p>
      <w:r>
        <w:t>Inom 10 meter från avverkningsanmälan finns fynd av 2 naturvårdsarter, varav 2 är fridlysta, 1 är typisk (T) och 1 är signalart (S): guckusko (S, T, §7)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Guckusko (§7)</w:t>
      </w:r>
      <w:r>
        <w:t xml:space="preserve">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Guckusko är rödlistad som nära hotad (NT) i den europeiska rödlistan och Sverige hyser mer än halva den beräknade populationen av arten i EU, vilket innebär att vi har ett internationellt ansvar för arten. Guckusko är typisk art för </w:t>
      </w:r>
      <w:r>
        <w:rPr>
          <w:i/>
        </w:rPr>
        <w:t>9050 Näringsrik granskog</w:t>
      </w:r>
      <w:r>
        <w:t xml:space="preserve"> (SLU Artdatabanken, 2021; IUCN, 2011).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Guckusko – ekologi samt krav på livsmiljön</w:t>
      </w:r>
    </w:p>
    <w:p>
      <w:r>
        <w:t>Guckusko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(SLU Artdatabanken, 2021).Dikning och slutavverkning av guckuskons växtplatser är ett direkt hot mot arten och bör undvikas. Kalavverkning missgynnar arten, dels om hyggesavfall lämnas, vilket kan kväva enskilda bestånd, dels indirekt genom att mer konkurrensstarka arter gynnas. Körskador av skogsmaskiner och hyggesplöjning kan leda till lokalt ändrad hydrologi, då de mullrika, fuktiga jordarna är mjuka. Sverige hyser mer än halva den beräknade populationen av arten i EU, vilket innebär att vi har ett internationellt ansvar för arten (SLU Artdatabanken, 2021).</w:t>
      </w:r>
    </w:p>
    <w:p>
      <w:pPr>
        <w:pStyle w:val="Heading2"/>
      </w:pPr>
      <w:r>
        <w:t>Referenser – guckusko</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