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1190-2026 i Ragunda kommun</w:t>
      </w:r>
    </w:p>
    <w:p>
      <w:r>
        <w:t>Detta klagomål behandlar höga naturvärden i samrådsanmälan S 1190-2026 i Ragunda kommun som inkom 2026-04-27 och omfattar 2,5 ha.</w:t>
      </w:r>
    </w:p>
    <w:p>
      <w:pPr>
        <w:pStyle w:val="Caption"/>
      </w:pPr>
      <w:r>
        <w:drawing>
          <wp:inline xmlns:a="http://schemas.openxmlformats.org/drawingml/2006/main" xmlns:pic="http://schemas.openxmlformats.org/drawingml/2006/picture">
            <wp:extent cx="4412004" cy="5724000"/>
            <wp:docPr id="1" name="Picture 1"/>
            <wp:cNvGraphicFramePr>
              <a:graphicFrameLocks noChangeAspect="1"/>
            </wp:cNvGraphicFramePr>
            <a:graphic>
              <a:graphicData uri="http://schemas.openxmlformats.org/drawingml/2006/picture">
                <pic:pic>
                  <pic:nvPicPr>
                    <pic:cNvPr id="0" name="S 1190-2026 karta.png"/>
                    <pic:cNvPicPr/>
                  </pic:nvPicPr>
                  <pic:blipFill>
                    <a:blip r:embed="rId16"/>
                    <a:stretch>
                      <a:fillRect/>
                    </a:stretch>
                  </pic:blipFill>
                  <pic:spPr>
                    <a:xfrm>
                      <a:off x="0" y="0"/>
                      <a:ext cx="4412004"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7011492, E 544420 i SWEREF 99 TM.</w:t>
      </w:r>
    </w:p>
    <w:p>
      <w:r>
        <w:t>I och inom 10 meter från samrådsanmälan finns fynd av 7 naturvårdsarter, varav 7 är rödlistade och 2 är typiska (T): skrovlig taggsvamp (VU), dropptaggsvamp (NT, T), kolflarnlav (NT, T), mörk kolflarnlav (NT), svartvit taggsvamp (NT), vedflamlav (NT)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