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11641-2026 i Ragunda kommun</w:t>
      </w:r>
    </w:p>
    <w:p>
      <w:r>
        <w:t>Denna tillsynsbegäran behandlar höga naturvärden i avverkningsanmälan A 11641-2026 i Ragunda kommun som inkom 2026-03-03 och omfattar 1,8 ha.</w:t>
      </w:r>
    </w:p>
    <w:p>
      <w:pPr>
        <w:pStyle w:val="Caption"/>
      </w:pPr>
      <w:r>
        <w:drawing>
          <wp:inline xmlns:a="http://schemas.openxmlformats.org/drawingml/2006/main" xmlns:pic="http://schemas.openxmlformats.org/drawingml/2006/picture">
            <wp:extent cx="4136623" cy="5724000"/>
            <wp:docPr id="1" name="Picture 1"/>
            <wp:cNvGraphicFramePr>
              <a:graphicFrameLocks noChangeAspect="1"/>
            </wp:cNvGraphicFramePr>
            <a:graphic>
              <a:graphicData uri="http://schemas.openxmlformats.org/drawingml/2006/picture">
                <pic:pic>
                  <pic:nvPicPr>
                    <pic:cNvPr id="0" name="A 11641-2026 karta.png"/>
                    <pic:cNvPicPr/>
                  </pic:nvPicPr>
                  <pic:blipFill>
                    <a:blip r:embed="rId16"/>
                    <a:stretch>
                      <a:fillRect/>
                    </a:stretch>
                  </pic:blipFill>
                  <pic:spPr>
                    <a:xfrm>
                      <a:off x="0" y="0"/>
                      <a:ext cx="4136623" cy="5724000"/>
                    </a:xfrm>
                    <a:prstGeom prst="rect"/>
                  </pic:spPr>
                </pic:pic>
              </a:graphicData>
            </a:graphic>
          </wp:inline>
        </w:drawing>
      </w:r>
    </w:p>
    <w:p>
      <w:pPr>
        <w:pStyle w:val="Caption"/>
        <w:spacing w:after="240"/>
      </w:pPr>
      <w:r>
        <w:t>Figur 1. Fyndplatser för naturvårdsarter i och inom 25 meter från avverkningsanmälan. Markörer utan svart kant är placerade på fyndplatsen. Markörer med svart kant är placerade vid sidan av fyndplatsen och har ett svart streck som visar fyndplatsens exakta position. Kartans mittpunktskoordinat är N 7026719, E 536626 i SWEREF 99 TM.</w:t>
      </w:r>
    </w:p>
    <w:p>
      <w:r>
        <w:t>I och inom 25 meter från avverkningsanmälan finns fynd av 9 naturvårdsarter, varav 6 är rödlistade, 2 är fridlysta, 6 är typiska (T) och 2 är signalarter (S): knärot (VU, T, §8), lunglav (NT, T), skrovellav (NT, T), vedtrappmossa (NT, T), vitgrynig nållav (NT), äggvaxskivling (NT), bårdlav (S, T), stuplav (S, T) och nattviol (§8).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begär vidare att Skogsstyrelsen säkerställer att inga skador eller försämringar av naturtypens bevarandestatus i området tillåts ske. Se Rådets direktiv 92/43/EEG samt ickeförsämringskravet i EU:s naturrestaureringsförordning (EU 2024/1991).</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1 fyndplatser för knärot registrerade på Artportalen. Figur 2 visar gränserna för buffertzoner på 50 m, som behöver lämnas kring fyndplatserna för att knärotslokalerna inte ska försvinna vid en avverkning. Av det avverkningsanmälda området överlappar 0.18 ha med buffertzonerna och får av detta skäl inte avverkas.</w:t>
      </w:r>
    </w:p>
    <w:p>
      <w:pPr>
        <w:pStyle w:val="Caption"/>
      </w:pPr>
      <w:r>
        <w:drawing>
          <wp:inline xmlns:a="http://schemas.openxmlformats.org/drawingml/2006/main" xmlns:pic="http://schemas.openxmlformats.org/drawingml/2006/picture">
            <wp:extent cx="5486400" cy="10972800"/>
            <wp:docPr id="2" name="Picture 2"/>
            <wp:cNvGraphicFramePr>
              <a:graphicFrameLocks noChangeAspect="1"/>
            </wp:cNvGraphicFramePr>
            <a:graphic>
              <a:graphicData uri="http://schemas.openxmlformats.org/drawingml/2006/picture">
                <pic:pic>
                  <pic:nvPicPr>
                    <pic:cNvPr id="0" name="A 11641-2026 karta knärot.png"/>
                    <pic:cNvPicPr/>
                  </pic:nvPicPr>
                  <pic:blipFill>
                    <a:blip r:embed="rId17"/>
                    <a:stretch>
                      <a:fillRect/>
                    </a:stretch>
                  </pic:blipFill>
                  <pic:spPr>
                    <a:xfrm>
                      <a:off x="0" y="0"/>
                      <a:ext cx="5486400" cy="10972800"/>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7026719, E 536626 i SWEREF 99 TM.</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rPr>
          <w:b/>
        </w:rPr>
        <w:t>Skrovellav (NT)</w:t>
      </w:r>
      <w:r>
        <w:t xml:space="preserve"> växer på gamla lövträd och på klippor i gamla skogar med hög och jämn luftfuktighet. Slutavverkning av kontinuitetsskog utgör det största hotet och lavens fortsatta förekomst bör säkerställas genom att lokaler med äldre skog skyddas. I områden med mycket hög luftfuktighet kan man på bålen av skrovellav finna de sällsynta parasitsvamparna skrovellavsknapp (EN), </w:t>
      </w:r>
      <w:r>
        <w:rPr>
          <w:i/>
        </w:rPr>
        <w:t>Catillaria lobariicola</w:t>
      </w:r>
      <w:r>
        <w:t xml:space="preserve"> (VU) och </w:t>
      </w:r>
      <w:r>
        <w:rPr>
          <w:i/>
        </w:rPr>
        <w:t>Merismatium lobariae</w:t>
      </w:r>
      <w:r>
        <w:t xml:space="preserve"> (DD). Skrovellav är typisk art för </w:t>
      </w:r>
      <w:r>
        <w:rPr>
          <w:i/>
        </w:rPr>
        <w:t xml:space="preserve">9010 Taiga, 9020 Nordlig ädellövskog, 9040 Fjällbjörkskog, 9070 Trädklädd betesmark, 9160 Näringsrik ekskog, 9180 Ädellövskog i branter, 9190 Näringsfattig ekskog, 8210 Kalkbranter </w:t>
      </w:r>
      <w:r>
        <w:t xml:space="preserve">och </w:t>
      </w:r>
      <w:r>
        <w:rPr>
          <w:i/>
        </w:rPr>
        <w:t>6530 Lövängar</w:t>
      </w:r>
      <w:r>
        <w:t xml:space="preserve"> (SLU Artdatabanken, 2026; Nitare &amp; Skogsstyrelsen, 2019).</w:t>
      </w:r>
    </w:p>
    <w:p>
      <w:r>
        <w:rPr>
          <w:b/>
        </w:rPr>
        <w:t xml:space="preserve">Vedtrappmossa (NT) </w:t>
      </w:r>
      <w:r>
        <w:t xml:space="preserve">växer på död ved, främst i gammal granskog. Den förekommer knappast alls i fjällnära barrskogar utan finns i skogslandskapet nedom fjällen och framför allt i landets södra delar är den en mycket bra signalart för barrnaturskog med höga naturvärden. Skogsavverkning och brist på grov död ved i skogen är de allvarligaste hoten och den överlever inte kalhyggesbruk. Lokaler med sluten granskog, tillräckligt stora för att säkerställa ett kontinuerligt tillskott på grova lågor, bör undantas från storskaligt skogsbruk. Vedtrappmossa är typisk art för </w:t>
      </w:r>
      <w:r>
        <w:rPr>
          <w:i/>
        </w:rPr>
        <w:t>9010 Taiga</w:t>
      </w:r>
      <w:r>
        <w:t xml:space="preserve"> (SLU Artdatabanken, 2024).</w:t>
      </w:r>
    </w:p>
    <w:p>
      <w:r>
        <w:rPr>
          <w:b/>
        </w:rPr>
        <w:t>Vitgrynig nållav (NT)</w:t>
      </w:r>
      <w:r>
        <w:t xml:space="preserve"> växer nästan uteslutande på bark av gamla, senvuxna granar i skuggiga lägen med hög och jämn luftfuktighet. Den vanligaste naturtypen för arten är kontinuitetsskogar på frisk mark men den finns också i sumpgranskogar. På lång sikt utgör avverkningar av olikåldriga granskogar av naturskogskaraktär ett allvarligt hot mot arten och skogsbruksåtgärder på eller i närheten av växtplatserna bör undvikas. Naturskogsartade, fuktiga granskogar med förekomster av arten signalerar höga biologiska värden och bör bevaras (SLU Artdatabanken, 2024; Nitare &amp; Skogsstyrelsen, 2019).</w:t>
      </w:r>
    </w:p>
    <w:p>
      <w:r>
        <w:rPr>
          <w:b/>
        </w:rPr>
        <w:t>Äggvaxskivling (NT)</w:t>
      </w:r>
      <w:r>
        <w:t xml:space="preserve"> bildar mykorrhiza med gran och förekommer huvudsakligen i äldre blåbärsgranskog. Har i Sverige en nordlig utbredningsbild och är relativt vanlig i norra Sverige. Total population i landet bedöms ha minskat kraftigt och fortgående att minska p.g.a. slutavverkningar av kontinuitetsskogar. Skogar med rik förekomst av äggvaxskivling brukar ha en artrik flora av mykorrhizasvampar och kan betraktas som nyckelbiotoper (SLU Artdatabanken, 2024).</w:t>
      </w:r>
    </w:p>
    <w:p>
      <w:r>
        <w:rPr>
          <w:b/>
        </w:rPr>
        <w:t>Bårdlav</w:t>
      </w:r>
      <w:r>
        <w:t xml:space="preserve"> signalerar miljöer med höga naturvärden och på lokalerna finns vanligtvis många andra ovanliga och rödlistade arter. Den visar även på platser med hög och jämn luftfuktighet. På bårdlav och andra njurlavar (Nephroma) kan de sällsynta parasiterna </w:t>
      </w:r>
      <w:r>
        <w:rPr>
          <w:i/>
        </w:rPr>
        <w:t xml:space="preserve">Protounguicularia nephromatis </w:t>
      </w:r>
      <w:r>
        <w:t xml:space="preserve">(VU) och </w:t>
      </w:r>
      <w:r>
        <w:rPr>
          <w:i/>
        </w:rPr>
        <w:t xml:space="preserve">Tremella nephromatis </w:t>
      </w:r>
      <w:r>
        <w:t xml:space="preserve">(DD) påträffas. Bårdlav är typisk art för </w:t>
      </w:r>
      <w:r>
        <w:rPr>
          <w:i/>
        </w:rPr>
        <w:t xml:space="preserve">9010 Taiga, 9020 Nordlig ädellövskog, 9070 Trädklädd betesmark, 9110 Näringsfattig bokskog, 9160 Näringsrik ekskog, 9180 Ädellövskog i branter </w:t>
      </w:r>
      <w:r>
        <w:t>och</w:t>
      </w:r>
      <w:r>
        <w:rPr>
          <w:i/>
        </w:rPr>
        <w:t xml:space="preserve"> 9190 Näringsfattig ekskog</w:t>
      </w:r>
      <w:r>
        <w:t xml:space="preserve"> (SLU Artdatabanken, 2026; Nitare &amp; Skogsstyrelsen, 2019).</w:t>
      </w:r>
    </w:p>
    <w:p>
      <w:r>
        <w:rPr>
          <w:b/>
        </w:rPr>
        <w:t>Stuplav</w:t>
      </w:r>
      <w:r>
        <w:t xml:space="preserve"> är en mycket bra signalart i hela sitt utbredningsområde och förekommer nästan enbart i skogsmiljöer med höga naturvärden. Den indikerar långvarig förekomst av gamla lövträd och miljöer med konstant hög luftfuktighet. I skogar med suboceaniskt klimat finns det en mycket sällsynt parasit, njurlavsknapp </w:t>
      </w:r>
      <w:r>
        <w:rPr>
          <w:i/>
        </w:rPr>
        <w:t>Pletocarpon nephromeum</w:t>
      </w:r>
      <w:r>
        <w:t xml:space="preserve"> (EN), som växer på stuplav. Ytterligare tre sällsynta lavparasiter, </w:t>
      </w:r>
      <w:r>
        <w:rPr>
          <w:i/>
        </w:rPr>
        <w:t>Protounguicularia nephromatis</w:t>
      </w:r>
      <w:r>
        <w:t xml:space="preserve"> (VU), </w:t>
      </w:r>
      <w:r>
        <w:rPr>
          <w:i/>
        </w:rPr>
        <w:t>Refractohilum galligenum</w:t>
      </w:r>
      <w:r>
        <w:t xml:space="preserve"> (NT) och </w:t>
      </w:r>
      <w:r>
        <w:rPr>
          <w:i/>
        </w:rPr>
        <w:t>Roselliniella nephromatis</w:t>
      </w:r>
      <w:r>
        <w:t xml:space="preserve"> (DD), kan också påträffas på stuplav. Stuplav är typisk art för </w:t>
      </w:r>
      <w:r>
        <w:rPr>
          <w:i/>
        </w:rPr>
        <w:t>9010 Taiga</w:t>
      </w:r>
      <w:r>
        <w:t xml:space="preserve"> (SLU Artdatabanken, 2026; Nitare &amp; Skogsstyrelsen, 2019).</w:t>
      </w:r>
    </w:p>
    <w:p>
      <w:pPr>
        <w:pStyle w:val="Heading1"/>
      </w:pPr>
      <w:r>
        <w:t>Typiska arter och EU:s art- och habitatdirektiv</w:t>
      </w:r>
    </w:p>
    <w:p>
      <w:r>
        <w:t>Typiska arter används för att lokalisera områden med gynnsam bevarandestatus för de naturtyper som är listade i EU:s art- och habitatdirektiv. Ett exempel är Västlig taiga (EU-kod 9010) som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w:t>
      </w:r>
    </w:p>
    <w:p>
      <w:r>
        <w:t>Följande typiska arter har sina livsmiljöer och växtplatser i den avverkningsanmälda skogen: knärot (VU, T, §8), lunglav (NT, T), skrovellav (NT, T), vedtrappmossa (NT, T), bårdlav (S, T) och stuplav (S, T).</w:t>
      </w:r>
    </w:p>
    <w:p>
      <w:r>
        <w:t>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r>
        <w:t>Trots detta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w:t>
      </w:r>
      <w:r>
        <w:rPr>
          <w:b/>
        </w:rPr>
        <w:t xml:space="preserve"> </w:t>
      </w:r>
      <w:r>
        <w:t>inte har gynnsam bevarandestatus.</w:t>
      </w:r>
    </w:p>
    <w:p>
      <w:r>
        <w:t>Åtgärder som vidtas i enlighet med art- och habitatdirektivet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w:t>
      </w:r>
    </w:p>
    <w:p>
      <w:r>
        <w:t>EU-direktiv är bindande för EU:s medlemsländer varvid det ankommer på Skogsstyrelsen som nationell tillsynsmyndighet att beakta syftet med EU:s art- och habitatdirektiv vid prövningen av en skogsbruksverksamhet, se Rådets direktiv 92/43/EEG. Se ytterligare information om EU:s livsmiljödirektiv i bilaga 2.</w:t>
      </w:r>
    </w:p>
    <w:p>
      <w:r>
        <w:br w:type="page"/>
      </w:r>
    </w:p>
    <w:p>
      <w:pPr>
        <w:pStyle w:val="Title"/>
      </w:pPr>
      <w:r>
        <w:t>BILAGA 1 –</w:t>
        <w:br/>
        <w:t>Fridlysta och rödlistade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p>
      <w:r>
        <w:br w:type="page"/>
      </w:r>
    </w:p>
    <w:p>
      <w:pPr>
        <w:pStyle w:val="Title"/>
      </w:pPr>
      <w:r>
        <w:t>BILAGA 2 – EU:s art- och habitatdirektiv, fågeldirektiv och naturrestaureringsförordning</w:t>
      </w:r>
    </w:p>
    <w:p>
      <w:pPr>
        <w:pStyle w:val="Heading2"/>
      </w:pPr>
      <w:r>
        <w:t>Förenlighet med EU-direktiv</w:t>
      </w:r>
    </w:p>
    <w:p>
      <w:r>
        <w:t>EU-direktiv är bindande för EU:s medlemsländer varvid det ankommer på Skogsstyrelsen som nationell tillsynsmyndighet att beakta syftet med EU:s art- och habitatdirektiv respektive fågeldirektiv vid prövningen av en skogsbruksverksamhet, se Rådets direktiv 92/43/EEG samt 2009/147/EG. Nationella regler som omfattas av ett EU-direktiv ska enligt fast rättspraxis tolkas i enlighet med direktivet, vilket medför en skyldighet för myndigheten att tolka bestämmelser i nationell rätt i ljuset av direktivets ordalydelse, sammanhang och de mål som eftersträvas med direktivet (se EU-domstolens dom i mål C 477/19).</w:t>
      </w:r>
    </w:p>
    <w:p>
      <w:r>
        <w:t>EU:s medlemsstater åläggs i Artikel 3 i fågeldirektivet generella skyldigheter avseende skydd, bevarande och återställande av tillräckligt stora och varierande livsmiljöer för de fågelarter som omfattas av direktivet. Medlemsstaterna ska vidta de åtgärder som är nödvändiga för att bibehålla populationen av fågelarterna på en nivå som svarar särskilt mot ekologiska, vetenskapliga och kulturella behov, eller återupprätta populationen av dessa arter till en sådan nivå (se Europaparlamentets och rådets direktiv 2009/147/EG).</w:t>
      </w:r>
    </w:p>
    <w:p>
      <w:r>
        <w:t>Åtgärder som vidtas i enlighet med art- och habitatdirektivet (92/43/EEG)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 Typiska arter används för att lokalisera områden med gynnsam bevarandestatus för de naturtyper som ingår i EU:s art- och habitatdirektiv.</w:t>
      </w:r>
    </w:p>
    <w:p>
      <w:r>
        <w:t>Västlig taiga (EU-kod 9010)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 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pPr>
        <w:pStyle w:val="Caption"/>
      </w:pPr>
      <w:r>
        <w:drawing>
          <wp:inline xmlns:a="http://schemas.openxmlformats.org/drawingml/2006/main" xmlns:pic="http://schemas.openxmlformats.org/drawingml/2006/picture">
            <wp:extent cx="5486400" cy="2905862"/>
            <wp:docPr id="3" name="Picture 3"/>
            <wp:cNvGraphicFramePr>
              <a:graphicFrameLocks noChangeAspect="1"/>
            </wp:cNvGraphicFramePr>
            <a:graphic>
              <a:graphicData uri="http://schemas.openxmlformats.org/drawingml/2006/picture">
                <pic:pic>
                  <pic:nvPicPr>
                    <pic:cNvPr id="0" name="uppföljning av västlig taiga.jpeg"/>
                    <pic:cNvPicPr/>
                  </pic:nvPicPr>
                  <pic:blipFill>
                    <a:blip r:embed="rId18"/>
                    <a:stretch>
                      <a:fillRect/>
                    </a:stretch>
                  </pic:blipFill>
                  <pic:spPr>
                    <a:xfrm>
                      <a:off x="0" y="0"/>
                      <a:ext cx="5486400" cy="2905862"/>
                    </a:xfrm>
                    <a:prstGeom prst="rect"/>
                  </pic:spPr>
                </pic:pic>
              </a:graphicData>
            </a:graphic>
          </wp:inline>
        </w:drawing>
      </w:r>
    </w:p>
    <w:p>
      <w:pPr>
        <w:pStyle w:val="Caption"/>
      </w:pPr>
      <w:r>
        <w:t>EU:s uppföljning av tillståndet för naturtypen Västlig taiga 9010 i Skandinavien 2013 - 2018. Av kartan framgår det att i den boreala regionen är tillståndet så dåligt (röd färg) att habitatet löper allvarlig risk att försvinna regionalt. Källa: European Environment Agency. https:// eunis.eea.europoa.eu/habitats/10176.</w:t>
      </w:r>
    </w:p>
    <w:p>
      <w:r>
        <w:t>Trots det allvarliga läget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 inte har gynnsam bevarandestatus.</w:t>
      </w:r>
    </w:p>
    <w:p>
      <w:pPr>
        <w:pStyle w:val="Heading2"/>
      </w:pPr>
      <w:r>
        <w:t>EU:s naturrestaureringsförordning</w:t>
      </w:r>
    </w:p>
    <w:p>
      <w:r>
        <w:t>Enligt EU:s naturrestaureringsförordning (EU 2024/1991) ska minst 20 % av landområden och minst 20 % av havsarealen vara restaurerad senast 2030, samt alla ekosystem som är i behov av restaurering senast 2050. Det framgår också av förordningen att det är viktigt att livsmiljötyperna inte försämras innan eller efter att restaureringar genomförts, se exempelvis punkt 37 förordningen.</w:t>
      </w:r>
    </w:p>
    <w:p>
      <w:r>
        <w:t>”</w:t>
      </w:r>
      <w:r>
        <w:rPr>
          <w:i/>
        </w:rPr>
        <w:t>Det är viktigt att medlemsstaterna vidtar åtgärder som syftar till att säkerställa att tillståndet för områden som täcks av livsmiljötyper som omfattas av denna förordning och som omfattas av restaureringsåtgärder uppvisar en kontinuerlig förbättring till dess att de uppnår ett gott tillstånd, och att medlemsstaterna vidtar åtgärder som syftar till att säkerställa att dessa livsmiljötyper, när de har uppnått ett gott tillstånd, inte försämras avsevärt, så att det långsiktiga bibehållandet eller uppnåendet av gott tillstånd inte äventyras. (..) Det är också viktigt att medlemsstaterna anstränger sig för att förhindra avsevärd försämring av områden som täcks av sådana livsmiljötyper som antingen redan är i gott skick eller som inte är i gott skick men ännu inte omfattas av restaureringsåtgärder.”</w:t>
      </w:r>
    </w:p>
    <w:p>
      <w:r>
        <w:rPr>
          <w:b/>
          <w:i/>
        </w:rPr>
        <w:t>Artikel 4(12):</w:t>
      </w:r>
    </w:p>
    <w:p>
      <w:r>
        <w:rPr>
          <w:i/>
        </w:rPr>
        <w:t>Utan att det påverkar tillämpningen av direktiv 92/43/EEG ska medlemsstaterna, senast den dag då deras nationella restaureringsplaner offentliggörs i enlighet med artikel 17.6 i denna förordning, eftersträva att genomföra de åtgärder som krävs för att förhindra avsevärd försämring av områden där de livsmiljötyper som förtecknas i bilaga I till denna förordning förekommer och som är i gott tillstånd eller som krävs för att uppnå de restaureringsmål som anges i punkt 17 i den här artikeln.</w:t>
      </w:r>
    </w:p>
    <w:p>
      <w:r>
        <w:rPr>
          <w:b/>
          <w:i/>
        </w:rPr>
        <w:t>Artikel 4 (17).   Medlemsstaterna ska säkerställa</w:t>
      </w:r>
    </w:p>
    <w:p>
      <w:r>
        <w:rPr>
          <w:i/>
        </w:rPr>
        <w:t>a) en ökning av arealen i gott tillstånd för de livsmiljötyper som förtecknas i bilaga I till dess att minst 90 % är i gott tillstånd och till dess att den gynnsamma referensarealen för varje livsmiljötyp i varje biogeografisk region inom den berörda medlemsstaten har uppnåtts.</w:t>
      </w:r>
    </w:p>
    <w:p>
      <w:r>
        <w:t>Referenser</w:t>
      </w:r>
    </w:p>
    <w:p>
      <w:r>
        <w:t xml:space="preserve">EEA European Environment Agency, 2022. </w:t>
      </w:r>
      <w:r>
        <w:rPr>
          <w:i/>
        </w:rPr>
        <w:t xml:space="preserve">Western taiga – Conservation status 2013-2018. </w:t>
      </w:r>
      <w:r>
        <w:t>https:// eunis.eea.europoa.eu/habitats/10176.</w:t>
      </w:r>
    </w:p>
    <w:p>
      <w:r>
        <w:t>EU-domstolens dom av den 2 juli 2020 i målet C 477/19 (Europeisk hamster) p. 23.</w:t>
      </w:r>
    </w:p>
    <w:p>
      <w:r>
        <w:t>EU-domstolens dom av den 4 mars 2021 i de förenade målen C 473-19 och C 474-19 (Skydda skogen) p. 70 och 76.</w:t>
      </w:r>
    </w:p>
    <w:p>
      <w:r>
        <w:t>Europaparlamentets och rådets direktiv 2009/147/EG av den 30 november 2009 om bevarande av vilda fåglar.</w:t>
      </w:r>
    </w:p>
    <w:p>
      <w:r>
        <w:t>EUROPAPARLAMENTETS OCH RÅDETS FÖRORDNING (EU) 2024/1991 av den 24 juni 2024 om restaurering av natur och om ändring av förordning (EU) 2022/869.</w:t>
      </w:r>
    </w:p>
    <w:p>
      <w:r>
        <w:t>Rådets direktiv 92/43/EEG av den 21 mj 1992 om bevarande av livsmiljöer samt vilda djur och växter.</w:t>
      </w:r>
    </w:p>
    <w:p>
      <w:r>
        <w:t xml:space="preserve">Skogsstyrelsen, 2026. </w:t>
      </w:r>
      <w:r>
        <w:rPr>
          <w:i/>
        </w:rPr>
        <w:t>Biologisk mångfald i skogen.</w:t>
      </w:r>
      <w:r>
        <w:t xml:space="preserve"> Rapport 2026/07.</w:t>
      </w:r>
    </w:p>
    <w:p>
      <w:r>
        <w:t xml:space="preserve">SLU Artdatabanken, 2019. </w:t>
      </w:r>
      <w:r>
        <w:rPr>
          <w:i/>
        </w:rPr>
        <w:t>Sveriges arter och naturtyper i EU:s art- och habitatdirektiv.</w:t>
      </w:r>
      <w:r>
        <w:t xml:space="preserve"> Resultat från rapportering 2019 till EU av bevarandestatus 2013-2018.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2026-10-28</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 Id="rId18" Type="http://schemas.openxmlformats.org/officeDocument/2006/relationships/image" Target="media/image3.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