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34 naturvårdsarter, varav 22 är rödlistade, 7 är fridlysta, 25 är typiska (T) och 8 är signalarter (S): doftticka (VU, T, §8), fläckporing (VU, T), garnlav (VU, T), gräddporing (VU, T), knärot (VU, T, §8), smalfotad taggsvamp (VU), doftskinn (NT, T), dropptaggsvamp (NT, T), dvärgbägarlav (NT, T), gammelgransskål (NT, T), kortskaftad ärgspik (NT), lunglav (NT, T), mörk kolflarnlav (NT), nordtagging (NT), orange taggsvamp (NT, T), skarp dropptaggsvamp (NT), skrovellav (NT, 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6.64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orange taggsvamp (NT, T), skrovellav (NT, T), vedskivlav (NT, T), vedtrappmossa (NT, T), bårdlav (S, T), grönpyrola (S, T), korallblylav (S, T), mörk husmossa (S, T), plattlummer (S, T, §9),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