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22929-2025 i Bräcke kommun</w:t>
      </w:r>
    </w:p>
    <w:p>
      <w:r>
        <w:t>Denna tillsynsbegäran behandlar höga naturvärden i avverkningsanmälan A 22929-2025 i Bräcke kommun som inkom 2025-05-13 och omfattar 14,5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22929-2025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6968427, E 541937 i SWEREF 99 TM.</w:t>
      </w:r>
    </w:p>
    <w:p>
      <w:r>
        <w:t>I och inom 14 meter från avverkningsanmälan finns fynd av 16 naturvårdsarter, varav 10 är rödlistade, 1 är fridlyst, 14 är typiska (T) och 6 är signalarter (S): knärot (VU, T, §8), lateritticka (VU), doftskinn (NT, T), dropptaggsvamp (NT, T), kolflarnlav (NT, T), lunglav (NT, T), mörk kolflarnlav (NT), ullticka (NT, T), vedskivlav (NT, T), vedtrappmossa (NT, T), bårdlav (S, T), gytterlav (S, T), luddlav (S, T), mörk husmossa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7577325"/>
            <wp:docPr id="2" name="Picture 2"/>
            <wp:cNvGraphicFramePr>
              <a:graphicFrameLocks noChangeAspect="1"/>
            </wp:cNvGraphicFramePr>
            <a:graphic>
              <a:graphicData uri="http://schemas.openxmlformats.org/drawingml/2006/picture">
                <pic:pic>
                  <pic:nvPicPr>
                    <pic:cNvPr id="0" name="A 22929-2025 karta knärot.png"/>
                    <pic:cNvPicPr/>
                  </pic:nvPicPr>
                  <pic:blipFill>
                    <a:blip r:embed="rId17"/>
                    <a:stretch>
                      <a:fillRect/>
                    </a:stretch>
                  </pic:blipFill>
                  <pic:spPr>
                    <a:xfrm>
                      <a:off x="0" y="0"/>
                      <a:ext cx="5486400" cy="7577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6968427, E 541937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doftskinn (NT, T), dropptaggsvamp (NT, T), kolflarnlav (NT, T), lunglav (NT, T), ullticka (NT, T), vedskivlav (NT, T), vedtrappmossa (NT, T), bårdlav (S, T), gytterlav (S, T), luddlav (S, T), mörk husmossa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