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28599-2021 i Bräcke kommun</w:t>
      </w:r>
    </w:p>
    <w:p>
      <w:r>
        <w:t>Detta dokument behandlar höga naturvärden i avverkningsanmälan A 28599-2021 i Bräcke kommun. Denna avverkningsanmälan inkom 2021-06-09 00:00:00 och omfattar 14,6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doftticka (VU, §8), knärot (VU, §8), garnlav (NT), lunglav (NT), rödvingetrast (NT, §4), talltita (NT, §4), tretåig hackspett (NT, §4), äggvaxskivling (NT), ärtsångare (NT, §4), fjällig taggsvamp s.str. (S), skarp dropptaggsvamp (S), spindelblomster (S, §8), stuplav (S), trådticka (S) och trädlärka (§4).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2114"/>
            <wp:docPr id="1" name="Picture 1"/>
            <wp:cNvGraphicFramePr>
              <a:graphicFrameLocks noChangeAspect="1"/>
            </wp:cNvGraphicFramePr>
            <a:graphic>
              <a:graphicData uri="http://schemas.openxmlformats.org/drawingml/2006/picture">
                <pic:pic>
                  <pic:nvPicPr>
                    <pic:cNvPr id="0" name="A 28599-2021 karta.png"/>
                    <pic:cNvPicPr/>
                  </pic:nvPicPr>
                  <pic:blipFill>
                    <a:blip r:embed="rId16"/>
                    <a:stretch>
                      <a:fillRect/>
                    </a:stretch>
                  </pic:blipFill>
                  <pic:spPr>
                    <a:xfrm>
                      <a:off x="0" y="0"/>
                      <a:ext cx="5486400" cy="38021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6960322, E 547618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Stuplav är typisk art för </w:t>
      </w:r>
      <w:r>
        <w:rPr>
          <w:i/>
        </w:rPr>
        <w:t>9010 Taiga</w:t>
      </w:r>
      <w:r>
        <w:t xml:space="preserve">.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Fridlysta arter</w:t>
      </w:r>
    </w:p>
    <w:p>
      <w:r>
        <w:t>Följande fridlysta arter har sina livsmiljöer och växtplatser i den avverkningsanmälda skogen: doftticka (VU, §8), knärot (VU, §8), rödvingetrast (NT, §4), talltita (NT, §4), tretåig hackspett (NT, §4), ärtsångare (NT, §4), spindelblomster (S, §8) och trädlärka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1.21 ha med buffertzonerna och får av detta skäl inte avverkas.</w:t>
      </w:r>
    </w:p>
    <w:p>
      <w:pPr>
        <w:pStyle w:val="Caption"/>
      </w:pPr>
      <w:r>
        <w:drawing>
          <wp:inline xmlns:a="http://schemas.openxmlformats.org/drawingml/2006/main" xmlns:pic="http://schemas.openxmlformats.org/drawingml/2006/picture">
            <wp:extent cx="5486400" cy="4515805"/>
            <wp:docPr id="2" name="Picture 2"/>
            <wp:cNvGraphicFramePr>
              <a:graphicFrameLocks noChangeAspect="1"/>
            </wp:cNvGraphicFramePr>
            <a:graphic>
              <a:graphicData uri="http://schemas.openxmlformats.org/drawingml/2006/picture">
                <pic:pic>
                  <pic:nvPicPr>
                    <pic:cNvPr id="0" name="A 28599-2021 karta knärot.png"/>
                    <pic:cNvPicPr/>
                  </pic:nvPicPr>
                  <pic:blipFill>
                    <a:blip r:embed="rId17"/>
                    <a:stretch>
                      <a:fillRect/>
                    </a:stretch>
                  </pic:blipFill>
                  <pic:spPr>
                    <a:xfrm>
                      <a:off x="0" y="0"/>
                      <a:ext cx="5486400" cy="451580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6960322, E 547618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