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29103-2024 i Bräcke kommun</w:t>
      </w:r>
    </w:p>
    <w:p>
      <w:r>
        <w:t>Detta klagomål behandlar höga naturvärden i avverkningsanmälan A 29103-2024 i Bräcke kommun som inkom 2024-07-08 och omfattar 6,2 ha.</w:t>
      </w:r>
    </w:p>
    <w:p>
      <w:pPr>
        <w:pStyle w:val="Caption"/>
      </w:pPr>
      <w:r>
        <w:drawing>
          <wp:inline xmlns:a="http://schemas.openxmlformats.org/drawingml/2006/main" xmlns:pic="http://schemas.openxmlformats.org/drawingml/2006/picture">
            <wp:extent cx="5486400" cy="4507898"/>
            <wp:docPr id="1" name="Picture 1"/>
            <wp:cNvGraphicFramePr>
              <a:graphicFrameLocks noChangeAspect="1"/>
            </wp:cNvGraphicFramePr>
            <a:graphic>
              <a:graphicData uri="http://schemas.openxmlformats.org/drawingml/2006/picture">
                <pic:pic>
                  <pic:nvPicPr>
                    <pic:cNvPr id="0" name="A 29103-2024 karta.png"/>
                    <pic:cNvPicPr/>
                  </pic:nvPicPr>
                  <pic:blipFill>
                    <a:blip r:embed="rId16"/>
                    <a:stretch>
                      <a:fillRect/>
                    </a:stretch>
                  </pic:blipFill>
                  <pic:spPr>
                    <a:xfrm>
                      <a:off x="0" y="0"/>
                      <a:ext cx="5486400" cy="4507898"/>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6967985, E 548536 i SWEREF 99 TM.</w:t>
      </w:r>
    </w:p>
    <w:p>
      <w:r>
        <w:t>I och inom 25 meter från avverkningsanmälan finns fynd av 18 naturvårdsarter, varav 18 är rödlistade, 2 är fridlysta och 6 är typiska (T): knärot (VU, T, §8), lammticka (VU), skrovlig taggsvamp (VU), smalfotad taggsvamp (VU), spadskinn (VU), tallgråticka (VU), blå taggsvamp (NT, T), dropptaggsvamp (NT, T), dvärgbägarlav (NT, T), nordtagging (NT), orange taggsvamp (NT, T), skarp dropptaggsvamp (NT), tallfingersvamp (NT), tallticka (NT, T), talltita (NT, §4), vaddporing (NT), vaxspindling (NT) och vitplätt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1.83 ha med buffertzonerna och får av detta skäl inte avverkas.</w:t>
      </w:r>
    </w:p>
    <w:p>
      <w:pPr>
        <w:pStyle w:val="Caption"/>
      </w:pPr>
      <w:r>
        <w:drawing>
          <wp:inline xmlns:a="http://schemas.openxmlformats.org/drawingml/2006/main" xmlns:pic="http://schemas.openxmlformats.org/drawingml/2006/picture">
            <wp:extent cx="5486400" cy="4253374"/>
            <wp:docPr id="2" name="Picture 2"/>
            <wp:cNvGraphicFramePr>
              <a:graphicFrameLocks noChangeAspect="1"/>
            </wp:cNvGraphicFramePr>
            <a:graphic>
              <a:graphicData uri="http://schemas.openxmlformats.org/drawingml/2006/picture">
                <pic:pic>
                  <pic:nvPicPr>
                    <pic:cNvPr id="0" name="A 29103-2024 karta knärot.png"/>
                    <pic:cNvPicPr/>
                  </pic:nvPicPr>
                  <pic:blipFill>
                    <a:blip r:embed="rId17"/>
                    <a:stretch>
                      <a:fillRect/>
                    </a:stretch>
                  </pic:blipFill>
                  <pic:spPr>
                    <a:xfrm>
                      <a:off x="0" y="0"/>
                      <a:ext cx="5486400" cy="425337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6967985, E 548536 i SWEREF 99 TM.</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Tallfingersvamp (NT) </w:t>
      </w:r>
      <w:r>
        <w:t>bildar mykorrhiza med tall och gran i äldre barrskog, framför allt sandtallskog men även i annan näringsfattig barrskog, huvudsakligen i äldre kontinuitetsskog. Den totala populationen i landet har minskat och bedöms fortsätta minska till följd av avverkning av barrskogar med trädkontinuitet. Minskningstakten för den svenska populationen bedöms vara nära gränsvärdet för Sårbar (VU). Slutavverkning, gödsling eller exploatering måste undvikas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Vaxspindling (NT)</w:t>
      </w:r>
      <w:r>
        <w:t xml:space="preserve"> växer främst i äldre skogar på sandig mark där den bildar mykorrhiza med tall, framförallt på sandiga lavtallhedar. Mager, sandig och brandpräglad tallskog med lång trädkontinuitet bör undantas från trakthyggesbruk och inte kalavverkas. De mest värdefulla lokalerna bör få ett långsiktigt skydd med naturvårdsinriktad skötsel. Arten är placerad högst upp i Skogsstyrelsens värdepyramid för bedömning av skog med höga naturvärden och den är globalt rödlistad som nära hotad (NT), vilket medför ett internationellt ansvar för arten (SLU Artdatabanken, 2024; Nitare &amp; Skogsstyrelsen, 2019; IUCN,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