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28153-2025 i Bräcke kommun</w:t>
      </w:r>
    </w:p>
    <w:p>
      <w:r>
        <w:t>Denna tillsynsbegäran behandlar höga naturvärden i avverkningsanmälan A 28153-2025 i Bräcke kommun som inkom 2025-06-10 och omfattar 16,2 ha.</w:t>
      </w:r>
    </w:p>
    <w:p>
      <w:pPr>
        <w:pStyle w:val="Caption"/>
      </w:pPr>
      <w:r>
        <w:drawing>
          <wp:inline xmlns:a="http://schemas.openxmlformats.org/drawingml/2006/main" xmlns:pic="http://schemas.openxmlformats.org/drawingml/2006/picture">
            <wp:extent cx="5486400" cy="4363330"/>
            <wp:docPr id="1" name="Picture 1"/>
            <wp:cNvGraphicFramePr>
              <a:graphicFrameLocks noChangeAspect="1"/>
            </wp:cNvGraphicFramePr>
            <a:graphic>
              <a:graphicData uri="http://schemas.openxmlformats.org/drawingml/2006/picture">
                <pic:pic>
                  <pic:nvPicPr>
                    <pic:cNvPr id="0" name="A 28153-2025 karta.png"/>
                    <pic:cNvPicPr/>
                  </pic:nvPicPr>
                  <pic:blipFill>
                    <a:blip r:embed="rId16"/>
                    <a:stretch>
                      <a:fillRect/>
                    </a:stretch>
                  </pic:blipFill>
                  <pic:spPr>
                    <a:xfrm>
                      <a:off x="0" y="0"/>
                      <a:ext cx="5486400" cy="43633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6982617, E 518925 i SWEREF 99 TM.</w:t>
      </w:r>
    </w:p>
    <w:p>
      <w:r>
        <w:t>I avverkningsanmälan finns fynd av 16 naturvårdsarter, varav 11 är rödlistade, 6 är fridlysta, 14 är typiska (T) och 4 är signalarter (S): doftticka (VU, T, §8), knärot (VU, T, §8), kolflarnlav (NT, T), lavskrika (NT, T, §4), lunglav (NT, T), rosa skärelav (NT, T), skrovellav (NT, T), sparvuggla (NT, §4), tretåig hackspett (NT, T, §4), ullticka (NT, T), vedflamlav (NT), barkkornlav (S, T), bårdlav (S, T), nästlav (S, T), rostfläck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6.17 ha med buffertzonerna och får av detta skäl inte avverkas.</w:t>
      </w:r>
    </w:p>
    <w:p>
      <w:pPr>
        <w:pStyle w:val="Caption"/>
      </w:pPr>
      <w:r>
        <w:drawing>
          <wp:inline xmlns:a="http://schemas.openxmlformats.org/drawingml/2006/main" xmlns:pic="http://schemas.openxmlformats.org/drawingml/2006/picture">
            <wp:extent cx="5486400" cy="5503421"/>
            <wp:docPr id="2" name="Picture 2"/>
            <wp:cNvGraphicFramePr>
              <a:graphicFrameLocks noChangeAspect="1"/>
            </wp:cNvGraphicFramePr>
            <a:graphic>
              <a:graphicData uri="http://schemas.openxmlformats.org/drawingml/2006/picture">
                <pic:pic>
                  <pic:nvPicPr>
                    <pic:cNvPr id="0" name="A 28153-2025 karta knärot.png"/>
                    <pic:cNvPicPr/>
                  </pic:nvPicPr>
                  <pic:blipFill>
                    <a:blip r:embed="rId17"/>
                    <a:stretch>
                      <a:fillRect/>
                    </a:stretch>
                  </pic:blipFill>
                  <pic:spPr>
                    <a:xfrm>
                      <a:off x="0" y="0"/>
                      <a:ext cx="5486400" cy="5503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6982617, E 518925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knärot (VU, T, §8), kolflarnlav (NT, T), lavskrika (NT, T, §4), lunglav (NT, T), rosa skärelav (NT, T), skrovellav (NT, T), tretåig hackspett (NT, T, §4), ullticka (NT, T), barkkornlav (S, T), bårdlav (S, T), nästlav (S, T), rostfläck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