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30486-2024 i Bräcke kommun</w:t>
      </w:r>
    </w:p>
    <w:p>
      <w:r>
        <w:t>Detta klagomål behandlar höga naturvärden i avverkningsanmälan A 30486-2024 i Bräcke kommun som inkom 2024-07-18 och omfattar 3,8 ha.</w:t>
      </w:r>
    </w:p>
    <w:p>
      <w:pPr>
        <w:pStyle w:val="Caption"/>
      </w:pPr>
      <w:r>
        <w:drawing>
          <wp:inline xmlns:a="http://schemas.openxmlformats.org/drawingml/2006/main" xmlns:pic="http://schemas.openxmlformats.org/drawingml/2006/picture">
            <wp:extent cx="5486400" cy="4313706"/>
            <wp:docPr id="1" name="Picture 1"/>
            <wp:cNvGraphicFramePr>
              <a:graphicFrameLocks noChangeAspect="1"/>
            </wp:cNvGraphicFramePr>
            <a:graphic>
              <a:graphicData uri="http://schemas.openxmlformats.org/drawingml/2006/picture">
                <pic:pic>
                  <pic:nvPicPr>
                    <pic:cNvPr id="0" name="A 30486-2024 karta.png"/>
                    <pic:cNvPicPr/>
                  </pic:nvPicPr>
                  <pic:blipFill>
                    <a:blip r:embed="rId16"/>
                    <a:stretch>
                      <a:fillRect/>
                    </a:stretch>
                  </pic:blipFill>
                  <pic:spPr>
                    <a:xfrm>
                      <a:off x="0" y="0"/>
                      <a:ext cx="5486400" cy="431370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6951127, E 522306 i SWEREF 99 TM.</w:t>
      </w:r>
    </w:p>
    <w:p>
      <w:r>
        <w:t>I avverkningsanmälan finns fynd av 3 naturvårdsarter, varav 2 är fridlysta och 2 är signalarter (S): rödgul trumpetsvamp (S), tvåblad (S, §8) och fjällvråk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