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48780-2023 i Bräcke kommun</w:t>
      </w:r>
    </w:p>
    <w:p>
      <w:r>
        <w:t>Detta klagomål behandlar höga naturvärden i avverkningsanmälan A 48780-2023 i Bräcke kommun som inkom 2023-10-09 och omfattar 11,2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48780-2023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6963354, E 545653 i SWEREF 99 TM.</w:t>
      </w:r>
    </w:p>
    <w:p>
      <w:r>
        <w:t>I och inom 25 meter från avverkningsanmälan finns fynd av 19 naturvårdsarter, varav 17 är rödlistade, 12 är typiska (T) och 2 är signalarter (S): garnlav (VU, T), skrovlig taggsvamp (VU), smalfotad taggsvamp (VU), blå taggsvamp (NT, T), dofttaggsvamp (NT, T), dropptaggsvamp (NT, T), dvärgbägarlav (NT, T), kolflarnlav (NT, T), lunglav (NT, T), nordtagging (NT), reliktbock (NT, T), skarp dropptaggsvamp (NT), talltagel (NT, T), tallticka (NT, T), vaddporing (NT), vedskivlav (NT, T), vitgrynig nållav (NT), bollvitmossa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