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61483-2024 i Bräcke kommun</w:t>
      </w:r>
    </w:p>
    <w:p>
      <w:r>
        <w:t>Detta klagomål behandlar höga naturvärden i avverkningsanmälan A 61483-2024 i Bräcke kommun som inkom 2024-12-20 och omfattar 13,8 ha.</w:t>
      </w:r>
    </w:p>
    <w:p>
      <w:pPr>
        <w:pStyle w:val="Caption"/>
      </w:pPr>
      <w:r>
        <w:drawing>
          <wp:inline xmlns:a="http://schemas.openxmlformats.org/drawingml/2006/main" xmlns:pic="http://schemas.openxmlformats.org/drawingml/2006/picture">
            <wp:extent cx="5063085" cy="5724000"/>
            <wp:docPr id="1" name="Picture 1"/>
            <wp:cNvGraphicFramePr>
              <a:graphicFrameLocks noChangeAspect="1"/>
            </wp:cNvGraphicFramePr>
            <a:graphic>
              <a:graphicData uri="http://schemas.openxmlformats.org/drawingml/2006/picture">
                <pic:pic>
                  <pic:nvPicPr>
                    <pic:cNvPr id="0" name="A 61483-2024 karta.png"/>
                    <pic:cNvPicPr/>
                  </pic:nvPicPr>
                  <pic:blipFill>
                    <a:blip r:embed="rId16"/>
                    <a:stretch>
                      <a:fillRect/>
                    </a:stretch>
                  </pic:blipFill>
                  <pic:spPr>
                    <a:xfrm>
                      <a:off x="0" y="0"/>
                      <a:ext cx="506308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6958355, E 506995 i SWEREF 99 TM.</w:t>
      </w:r>
    </w:p>
    <w:p>
      <w:r>
        <w:t>I och inom 25 meter från avverkningsanmälan finns fynd av 28 naturvårdsarter, varav 14 är rödlistade, 6 är fridlysta, 21 är typiska (T) och 8 är signalarter (S): garnlav (VU, T), knärot (VU, T, §8), gammelgransskål (NT, T), kolflarnlav (NT, T), lunglav (NT, T), skogshare (NT), skrovellav (NT, T), stjärntagging (NT, T), talltita (NT, §4), tretåig hackspett (NT, T, §4), ullticka (NT, T), vedskivlav (NT, T), vedtrappmossa (NT, T), vitgrynig nållav (NT), grönpyrola (S, T), kransrams (S, T), mörk husmossa (S, T), rödgul trumpetsvamp (S), svavelriska (S), trådticka (S, T), underviol (S, T), vedticka (S, T), brudborste (T), kransmossa (T), linnea (T),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5.56 ha med buffertzonerna och får av detta skäl inte avverkas.</w:t>
      </w:r>
    </w:p>
    <w:p>
      <w:pPr>
        <w:pStyle w:val="Caption"/>
      </w:pPr>
      <w:r>
        <w:drawing>
          <wp:inline xmlns:a="http://schemas.openxmlformats.org/drawingml/2006/main" xmlns:pic="http://schemas.openxmlformats.org/drawingml/2006/picture">
            <wp:extent cx="5486400" cy="8796377"/>
            <wp:docPr id="2" name="Picture 2"/>
            <wp:cNvGraphicFramePr>
              <a:graphicFrameLocks noChangeAspect="1"/>
            </wp:cNvGraphicFramePr>
            <a:graphic>
              <a:graphicData uri="http://schemas.openxmlformats.org/drawingml/2006/picture">
                <pic:pic>
                  <pic:nvPicPr>
                    <pic:cNvPr id="0" name="A 61483-2024 karta knärot.png"/>
                    <pic:cNvPicPr/>
                  </pic:nvPicPr>
                  <pic:blipFill>
                    <a:blip r:embed="rId17"/>
                    <a:stretch>
                      <a:fillRect/>
                    </a:stretch>
                  </pic:blipFill>
                  <pic:spPr>
                    <a:xfrm>
                      <a:off x="0" y="0"/>
                      <a:ext cx="5486400" cy="87963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6958355, E 506995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