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29103-2024 i Bräcke kommun</w:t>
      </w:r>
    </w:p>
    <w:p>
      <w:r>
        <w:t>Detta klagomål behandlar höga naturvärden i avverkningsanmälan A 29103-2024 i Bräcke kommun som inkom 2024-07-08 och omfattar 6,2 ha.</w:t>
      </w:r>
    </w:p>
    <w:p>
      <w:pPr>
        <w:pStyle w:val="Caption"/>
      </w:pPr>
      <w:r>
        <w:drawing>
          <wp:inline xmlns:a="http://schemas.openxmlformats.org/drawingml/2006/main" xmlns:pic="http://schemas.openxmlformats.org/drawingml/2006/picture">
            <wp:extent cx="5486400" cy="4507898"/>
            <wp:docPr id="1" name="Picture 1"/>
            <wp:cNvGraphicFramePr>
              <a:graphicFrameLocks noChangeAspect="1"/>
            </wp:cNvGraphicFramePr>
            <a:graphic>
              <a:graphicData uri="http://schemas.openxmlformats.org/drawingml/2006/picture">
                <pic:pic>
                  <pic:nvPicPr>
                    <pic:cNvPr id="0" name="A 29103-2024 karta.png"/>
                    <pic:cNvPicPr/>
                  </pic:nvPicPr>
                  <pic:blipFill>
                    <a:blip r:embed="rId16"/>
                    <a:stretch>
                      <a:fillRect/>
                    </a:stretch>
                  </pic:blipFill>
                  <pic:spPr>
                    <a:xfrm>
                      <a:off x="0" y="0"/>
                      <a:ext cx="5486400" cy="450789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6967985, E 548536 i SWEREF 99 TM.</w:t>
      </w:r>
    </w:p>
    <w:p>
      <w:r>
        <w:t>I och inom 25 meter från avverkningsanmälan finns fynd av 18 naturvårdsarter, varav 18 är rödlistade, 2 är fridlysta och 6 är typiska (T): knärot (VU, T, §8), lammticka (VU), skrovlig taggsvamp (VU), smalfotad taggsvamp (VU), spadskinn (VU), tallgråticka (VU), blå taggsvamp (NT, T), dropptaggsvamp (NT, T), dvärgbägarlav (NT, T), nordtagging (NT), orange taggsvamp (NT, T), skarp dropptaggsvamp (NT), tallfingersvamp (NT), tallticka (NT, T), talltita (NT, §4), vaddporing (NT), vaxspindling (NT) och vitplätt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1.83 ha med buffertzonerna och får av detta skäl inte avverkas.</w:t>
      </w:r>
    </w:p>
    <w:p>
      <w:pPr>
        <w:pStyle w:val="Caption"/>
      </w:pPr>
      <w:r>
        <w:drawing>
          <wp:inline xmlns:a="http://schemas.openxmlformats.org/drawingml/2006/main" xmlns:pic="http://schemas.openxmlformats.org/drawingml/2006/picture">
            <wp:extent cx="5486400" cy="4253374"/>
            <wp:docPr id="2" name="Picture 2"/>
            <wp:cNvGraphicFramePr>
              <a:graphicFrameLocks noChangeAspect="1"/>
            </wp:cNvGraphicFramePr>
            <a:graphic>
              <a:graphicData uri="http://schemas.openxmlformats.org/drawingml/2006/picture">
                <pic:pic>
                  <pic:nvPicPr>
                    <pic:cNvPr id="0" name="A 29103-2024 karta knärot.png"/>
                    <pic:cNvPicPr/>
                  </pic:nvPicPr>
                  <pic:blipFill>
                    <a:blip r:embed="rId17"/>
                    <a:stretch>
                      <a:fillRect/>
                    </a:stretch>
                  </pic:blipFill>
                  <pic:spPr>
                    <a:xfrm>
                      <a:off x="0" y="0"/>
                      <a:ext cx="5486400" cy="42533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6967985, E 548536 i SWEREF 99 TM.</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