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33854-2025 i Bräcke kommun</w:t>
      </w:r>
    </w:p>
    <w:p>
      <w:r>
        <w:t>Denna tillsynsbegäran behandlar höga naturvärden i avverkningsanmälan A 33854-2025 i Bräcke kommun som inkom 2025-07-04 och omfattar 1,7 ha.</w:t>
      </w:r>
    </w:p>
    <w:p>
      <w:pPr>
        <w:pStyle w:val="Caption"/>
      </w:pPr>
      <w:r>
        <w:drawing>
          <wp:inline xmlns:a="http://schemas.openxmlformats.org/drawingml/2006/main" xmlns:pic="http://schemas.openxmlformats.org/drawingml/2006/picture">
            <wp:extent cx="5486400" cy="5610834"/>
            <wp:docPr id="1" name="Picture 1"/>
            <wp:cNvGraphicFramePr>
              <a:graphicFrameLocks noChangeAspect="1"/>
            </wp:cNvGraphicFramePr>
            <a:graphic>
              <a:graphicData uri="http://schemas.openxmlformats.org/drawingml/2006/picture">
                <pic:pic>
                  <pic:nvPicPr>
                    <pic:cNvPr id="0" name="A 33854-2025 karta.png"/>
                    <pic:cNvPicPr/>
                  </pic:nvPicPr>
                  <pic:blipFill>
                    <a:blip r:embed="rId16"/>
                    <a:stretch>
                      <a:fillRect/>
                    </a:stretch>
                  </pic:blipFill>
                  <pic:spPr>
                    <a:xfrm>
                      <a:off x="0" y="0"/>
                      <a:ext cx="5486400" cy="5610834"/>
                    </a:xfrm>
                    <a:prstGeom prst="rect"/>
                  </pic:spPr>
                </pic:pic>
              </a:graphicData>
            </a:graphic>
          </wp:inline>
        </w:drawing>
      </w:r>
    </w:p>
    <w:p>
      <w:pPr>
        <w:pStyle w:val="Caption"/>
        <w:spacing w:after="240"/>
      </w:pPr>
      <w:r>
        <w:t>Figur 1. Fyndplatser för naturvårdsarter inom 5 meter från avverkningsanmälan. Markörer utan svart kant är placerade på fyndplatsen. Markörer med svart kant är placerade vid sidan av fyndplatsen och har ett svart streck som visar fyndplatsens exakta position. Kartans mittpunktskoordinat är N 6950738, E 512764 i SWEREF 99 TM.</w:t>
      </w:r>
    </w:p>
    <w:p>
      <w:r>
        <w:t>Inom 5 meter från avverkningsanmälan finns fynd av 2 naturvårdsarter, varav 2 är rödlistade: kopparspindling (VU) och blekspindling agg.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Kopparspindling (VU) </w:t>
      </w:r>
      <w:r>
        <w:t>bildar mykorrhiza med tall och gran i äldre ängsgranskog på kalkrik mark, mer sällan i ren kalktallskog.</w:t>
      </w:r>
      <w:r>
        <w:rPr>
          <w:b/>
        </w:rPr>
        <w:t xml:space="preserve"> </w:t>
      </w:r>
      <w:r>
        <w:t>Minskningstakten uppgår till 30 % inom 50 år och överstiger gränsvärdet för Sårbar (VU) enligt A-kriteriet. (A2c+3c+4c).</w:t>
      </w:r>
      <w:r>
        <w:rPr>
          <w:b/>
        </w:rPr>
        <w:t xml:space="preserve"> </w:t>
      </w:r>
      <w:r>
        <w:t>Intensivt skogsbruk, särskilt kalavverkning och markberedning missgynnar arten och lokaler som även hyser ett stort antal andra hotade arter bör helt undantas från skogsbruk.</w:t>
      </w:r>
      <w:r>
        <w:rPr>
          <w:b/>
        </w:rPr>
        <w:t xml:space="preserve"> </w:t>
      </w:r>
      <w:r>
        <w:t>Kopparspindling är globalt rödlistad som nära hotad (NT) vilket innebär att Sverige har ett internationellt ansvar för arten (SLU Artdatabanken, 2024; IUCN, 2015).</w:t>
      </w:r>
    </w:p>
    <w:p>
      <w:r>
        <w:rPr>
          <w:b/>
        </w:rPr>
        <w:t xml:space="preserve">Blekspindling agg. (NT) </w:t>
      </w:r>
      <w:r>
        <w:t>bildar mykorrhiza med gran och tall i ängsgranskog och kalktallskog på torr och ofta kalkrik mark. Mer sällan även med bok och ek, i ädellövskog. Total population i landet bedöms ha minskat med mer än 15 % över de senaste 50 åren, p.g.a. slutavverkning av äldre skog. Minskningen bedöms fortgå framöver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