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4180-2022 i Bräcke kommun</w:t>
      </w:r>
    </w:p>
    <w:p>
      <w:r>
        <w:t>Denna tillsynsbegäran behandlar höga naturvärden i avverkningsanmälan A 4180-2022 i Bräcke kommun som inkom 2022-01-27 och omfattar 6,1 ha.</w:t>
      </w:r>
    </w:p>
    <w:p>
      <w:pPr>
        <w:pStyle w:val="Caption"/>
      </w:pPr>
      <w:r>
        <w:drawing>
          <wp:inline xmlns:a="http://schemas.openxmlformats.org/drawingml/2006/main" xmlns:pic="http://schemas.openxmlformats.org/drawingml/2006/picture">
            <wp:extent cx="5486400" cy="4792982"/>
            <wp:docPr id="1" name="Picture 1"/>
            <wp:cNvGraphicFramePr>
              <a:graphicFrameLocks noChangeAspect="1"/>
            </wp:cNvGraphicFramePr>
            <a:graphic>
              <a:graphicData uri="http://schemas.openxmlformats.org/drawingml/2006/picture">
                <pic:pic>
                  <pic:nvPicPr>
                    <pic:cNvPr id="0" name="A 4180-2022 karta.png"/>
                    <pic:cNvPicPr/>
                  </pic:nvPicPr>
                  <pic:blipFill>
                    <a:blip r:embed="rId16"/>
                    <a:stretch>
                      <a:fillRect/>
                    </a:stretch>
                  </pic:blipFill>
                  <pic:spPr>
                    <a:xfrm>
                      <a:off x="0" y="0"/>
                      <a:ext cx="5486400" cy="4792982"/>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6954067, E 508147 i SWEREF 99 TM.</w:t>
      </w:r>
    </w:p>
    <w:p>
      <w:r>
        <w:t>I och inom 10 meter från avverkningsanmälan finns fynd av 3 naturvårdsarter, varav 2 är rödlistade, 2 är fridlysta, 2 är typiska (T) och 1 är signalart (S): knärot (VU, T, §8), skogsfru (NT, §8) och ögonpyrola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1.63 ha med buffertzonerna och får av detta skäl inte avverkas.</w:t>
      </w:r>
    </w:p>
    <w:p>
      <w:pPr>
        <w:pStyle w:val="Caption"/>
      </w:pPr>
      <w:r>
        <w:drawing>
          <wp:inline xmlns:a="http://schemas.openxmlformats.org/drawingml/2006/main" xmlns:pic="http://schemas.openxmlformats.org/drawingml/2006/picture">
            <wp:extent cx="5486400" cy="5716228"/>
            <wp:docPr id="2" name="Picture 2"/>
            <wp:cNvGraphicFramePr>
              <a:graphicFrameLocks noChangeAspect="1"/>
            </wp:cNvGraphicFramePr>
            <a:graphic>
              <a:graphicData uri="http://schemas.openxmlformats.org/drawingml/2006/picture">
                <pic:pic>
                  <pic:nvPicPr>
                    <pic:cNvPr id="0" name="A 4180-2022 karta knärot.png"/>
                    <pic:cNvPicPr/>
                  </pic:nvPicPr>
                  <pic:blipFill>
                    <a:blip r:embed="rId17"/>
                    <a:stretch>
                      <a:fillRect/>
                    </a:stretch>
                  </pic:blipFill>
                  <pic:spPr>
                    <a:xfrm>
                      <a:off x="0" y="0"/>
                      <a:ext cx="5486400" cy="571622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6954067, E 508147 i SWEREF 99 TM.</w:t>
      </w:r>
    </w:p>
    <w:p>
      <w:r>
        <w:rPr>
          <w:b/>
        </w:rPr>
        <w:t>Skogsfru (NT, §8)</w:t>
      </w:r>
      <w:r>
        <w:t xml:space="preserve"> växer i fuktig, skuggig skog med rörligt markvatten och god förnaproduktion. Den är placerad högst upp i Skogsstyrelsens värdepyramid för bedömning av skog med höga naturvärden och fridlyst enligt 8 § artskyddsförordningen. Slutavverkning utan hänsyn, markberedning och skyddsdikning utgör de allvarligaste hoten mot arten (SLU Artdatabanken, 2024).</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