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50503-2023 i Bräcke kommun</w:t>
      </w:r>
    </w:p>
    <w:p>
      <w:r>
        <w:t>Denna tillsynsbegäran behandlar höga naturvärden i avverkningsanmälan A 50503-2023 i Bräcke kommun som inkom 2023-10-17 och omfattar 66,9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50503-2023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6961027, E 544811 i SWEREF 99 TM.</w:t>
      </w:r>
    </w:p>
    <w:p>
      <w:r>
        <w:t>I och inom 24 meter från avverkningsanmälan finns fynd av 26 naturvårdsarter, varav 23 är rödlistade, 2 är fridlysta, 16 är typiska (T) och 2 är signalarter (S): fläckporing (VU, T), garnlav (VU, T), goliatmusseron (VU, T), jättemusseron (VU), lakritsmusseron (VU, T), skrovlig taggsvamp (VU), smalfotad taggsvamp (VU), blanksvart spiklav (NT), blå taggsvamp (NT, T), dofttaggsvamp (NT, T), dropptaggsvamp (NT, T), dvärgbägarlav (NT, T), lunglav (NT, T), mörk kolflarnlav (NT), orange taggsvamp (NT, T), reliktbock (NT, T), rosenticka (NT, T), skarp dropptaggsvamp (NT), talltaggsvamp (NT), vaddporing (NT), vedskivlav (NT, T), vedtrappmossa (NT, T), vitgrynig nållav (NT), plattlummer (S, T, §9), svavelriska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goliatmusseron (VU, T), lakritsmusseron (VU, T), blå taggsvamp (NT, T), dofttaggsvamp (NT, T), dropptaggsvamp (NT, T), dvärgbägarlav (NT, T), lunglav (NT, T), orange taggsvamp (NT, T), reliktbock (NT, T), rosenticka (NT, T), vedskivlav (NT, T), vedtrappmossa (NT, T), plattlummer (S,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