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54050-2023 i Bräcke kommun</w:t>
      </w:r>
    </w:p>
    <w:p>
      <w:r>
        <w:t>Detta klagomål behandlar höga naturvärden i avverkningsanmälan A 54050-2023 i Bräcke kommun som inkom 2023-11-01 och omfattar 11,3 ha.</w:t>
      </w:r>
    </w:p>
    <w:p>
      <w:pPr>
        <w:pStyle w:val="Caption"/>
      </w:pPr>
      <w:r>
        <w:drawing>
          <wp:inline xmlns:a="http://schemas.openxmlformats.org/drawingml/2006/main" xmlns:pic="http://schemas.openxmlformats.org/drawingml/2006/picture">
            <wp:extent cx="4480849" cy="5724000"/>
            <wp:docPr id="1" name="Picture 1"/>
            <wp:cNvGraphicFramePr>
              <a:graphicFrameLocks noChangeAspect="1"/>
            </wp:cNvGraphicFramePr>
            <a:graphic>
              <a:graphicData uri="http://schemas.openxmlformats.org/drawingml/2006/picture">
                <pic:pic>
                  <pic:nvPicPr>
                    <pic:cNvPr id="0" name="A 54050-2023 karta.png"/>
                    <pic:cNvPicPr/>
                  </pic:nvPicPr>
                  <pic:blipFill>
                    <a:blip r:embed="rId16"/>
                    <a:stretch>
                      <a:fillRect/>
                    </a:stretch>
                  </pic:blipFill>
                  <pic:spPr>
                    <a:xfrm>
                      <a:off x="0" y="0"/>
                      <a:ext cx="448084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6964771, E 550850 i SWEREF 99 TM.</w:t>
      </w:r>
    </w:p>
    <w:p>
      <w:r>
        <w:t>I och inom 24 meter från avverkningsanmälan finns fynd av 21 naturvårdsarter, varav 20 är rödlistade, 2 är fridlysta, 10 är typiska (T) och 1 är signalart (S): knärot (VU, T, §8), skrovlig taggsvamp (VU), smalfotad taggsvamp (VU), blanksvart spiklav (NT), blå taggsvamp (NT, T), dropptaggsvamp (NT, T), dvärgbägarlav (NT, T), grantaggsvamp (NT), kolflarnlav (NT, T), lunglav (NT, T), mörk kolflarnlav (NT), nordtagging (NT), orange taggsvamp (NT, T), skarp dropptaggsvamp (NT), tallriska (NT), tallticka (NT, T), talltita (NT, §4), vaxspindling (NT), vedtrappmossa (NT, T), vitplätt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10517407"/>
            <wp:docPr id="2" name="Picture 2"/>
            <wp:cNvGraphicFramePr>
              <a:graphicFrameLocks noChangeAspect="1"/>
            </wp:cNvGraphicFramePr>
            <a:graphic>
              <a:graphicData uri="http://schemas.openxmlformats.org/drawingml/2006/picture">
                <pic:pic>
                  <pic:nvPicPr>
                    <pic:cNvPr id="0" name="A 54050-2023 karta knärot.png"/>
                    <pic:cNvPicPr/>
                  </pic:nvPicPr>
                  <pic:blipFill>
                    <a:blip r:embed="rId17"/>
                    <a:stretch>
                      <a:fillRect/>
                    </a:stretch>
                  </pic:blipFill>
                  <pic:spPr>
                    <a:xfrm>
                      <a:off x="0" y="0"/>
                      <a:ext cx="5486400" cy="105174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6964771, E 550850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