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56737-2025 i Bräcke kommun</w:t>
      </w:r>
    </w:p>
    <w:p>
      <w:r>
        <w:t>Denna tillsynsbegäran behandlar höga naturvärden i avverkningsanmälan A 56737-2025 i Bräcke kommun som inkom 2025-11-17 och omfattar 3,5 ha.</w:t>
      </w:r>
    </w:p>
    <w:p>
      <w:pPr>
        <w:pStyle w:val="Caption"/>
      </w:pPr>
      <w:r>
        <w:drawing>
          <wp:inline xmlns:a="http://schemas.openxmlformats.org/drawingml/2006/main" xmlns:pic="http://schemas.openxmlformats.org/drawingml/2006/picture">
            <wp:extent cx="5486400" cy="5537781"/>
            <wp:docPr id="1" name="Picture 1"/>
            <wp:cNvGraphicFramePr>
              <a:graphicFrameLocks noChangeAspect="1"/>
            </wp:cNvGraphicFramePr>
            <a:graphic>
              <a:graphicData uri="http://schemas.openxmlformats.org/drawingml/2006/picture">
                <pic:pic>
                  <pic:nvPicPr>
                    <pic:cNvPr id="0" name="A 56737-2025 karta.png"/>
                    <pic:cNvPicPr/>
                  </pic:nvPicPr>
                  <pic:blipFill>
                    <a:blip r:embed="rId16"/>
                    <a:stretch>
                      <a:fillRect/>
                    </a:stretch>
                  </pic:blipFill>
                  <pic:spPr>
                    <a:xfrm>
                      <a:off x="0" y="0"/>
                      <a:ext cx="5486400" cy="553778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6985017, E 528146 i SWEREF 99 TM.</w:t>
      </w:r>
    </w:p>
    <w:p>
      <w:r>
        <w:t>I och inom 23 meter från avverkningsanmälan finns fynd av 6 naturvårdsarter, varav 5 är rödlistade, 4 är typiska (T) och 1 är signalart (S): smultronkantarell (VU), blå taggsvamp (NT, T), dropptaggsvamp (NT, T), dvärgbägarlav (NT, T), reliktbock (NT, T) och strimspindling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