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1938-2022 i Bräcke kommun</w:t>
      </w:r>
    </w:p>
    <w:p>
      <w:r>
        <w:t>Denna tillsynsbegäran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6952853, E 513608 i SWEREF 99 TM.</w:t>
      </w:r>
    </w:p>
    <w:p>
      <w:r>
        <w:t>I och inom 15 meter från samrådsanmälan finns fynd av 12 naturvårdsarter, varav 10 är rödlistade, 2 är fridlysta, 10 är typiska (T) och 2 är signalarter (S): doftticka (VU, T, §8), fläckporing (VU, T), gräddporing (VU, T), blå taggsvamp (NT, T), kolflarnlav (NT, T), lunglav (NT, T), mörk kolflarnlav (NT), nordtagging (NT), reliktbock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gräddporing (VU, T), blå taggsvamp (NT, T), kolflarnlav (NT, T), lunglav (NT, T), reliktbock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