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23506-2025 i Bräcke kommun</w:t>
      </w:r>
    </w:p>
    <w:p>
      <w:r>
        <w:t>Detta klagomål behandlar höga naturvärden i avverkningsanmälan A 23506-2025 i Bräcke kommun som inkom 2025-05-15 och omfattar 9,6 ha.</w:t>
      </w:r>
    </w:p>
    <w:p>
      <w:pPr>
        <w:pStyle w:val="Caption"/>
      </w:pPr>
      <w:r>
        <w:drawing>
          <wp:inline xmlns:a="http://schemas.openxmlformats.org/drawingml/2006/main" xmlns:pic="http://schemas.openxmlformats.org/drawingml/2006/picture">
            <wp:extent cx="5210147" cy="5724000"/>
            <wp:docPr id="1" name="Picture 1"/>
            <wp:cNvGraphicFramePr>
              <a:graphicFrameLocks noChangeAspect="1"/>
            </wp:cNvGraphicFramePr>
            <a:graphic>
              <a:graphicData uri="http://schemas.openxmlformats.org/drawingml/2006/picture">
                <pic:pic>
                  <pic:nvPicPr>
                    <pic:cNvPr id="0" name="A 23506-2025 karta.png"/>
                    <pic:cNvPicPr/>
                  </pic:nvPicPr>
                  <pic:blipFill>
                    <a:blip r:embed="rId16"/>
                    <a:stretch>
                      <a:fillRect/>
                    </a:stretch>
                  </pic:blipFill>
                  <pic:spPr>
                    <a:xfrm>
                      <a:off x="0" y="0"/>
                      <a:ext cx="5210147"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6962339, E 570627 i SWEREF 99 TM.</w:t>
      </w:r>
    </w:p>
    <w:p>
      <w:r>
        <w:t>I avverkningsanmälan finns fynd av 12 naturvårdsarter, varav 8 är rödlistade, 3 är fridlysta, 12 är typiska (T) och 3 är signalarter (S): garnlav (VU, T), knärot (VU, T, §8), blå taggsvamp (NT, T), dropptaggsvamp (NT, T), dvärgbägarlav (NT, T), lunglav (NT, T), tretåig hackspett (NT, T, §4), vedskivlav (NT, T), barkticka (S, T), norrlandslav (S, T), skinnlav (S, T)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1.36 ha med buffertzonerna och får av detta skäl inte avverkas.</w:t>
      </w:r>
    </w:p>
    <w:p>
      <w:pPr>
        <w:pStyle w:val="Caption"/>
      </w:pPr>
      <w:r>
        <w:drawing>
          <wp:inline xmlns:a="http://schemas.openxmlformats.org/drawingml/2006/main" xmlns:pic="http://schemas.openxmlformats.org/drawingml/2006/picture">
            <wp:extent cx="5486400" cy="5780516"/>
            <wp:docPr id="2" name="Picture 2"/>
            <wp:cNvGraphicFramePr>
              <a:graphicFrameLocks noChangeAspect="1"/>
            </wp:cNvGraphicFramePr>
            <a:graphic>
              <a:graphicData uri="http://schemas.openxmlformats.org/drawingml/2006/picture">
                <pic:pic>
                  <pic:nvPicPr>
                    <pic:cNvPr id="0" name="A 23506-2025 karta knärot.png"/>
                    <pic:cNvPicPr/>
                  </pic:nvPicPr>
                  <pic:blipFill>
                    <a:blip r:embed="rId17"/>
                    <a:stretch>
                      <a:fillRect/>
                    </a:stretch>
                  </pic:blipFill>
                  <pic:spPr>
                    <a:xfrm>
                      <a:off x="0" y="0"/>
                      <a:ext cx="5486400" cy="578051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6962339, E 570627 i SWEREF 99 TM.</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Barkticka</w:t>
      </w:r>
      <w:r>
        <w:t xml:space="preserve"> är en vednedbrytare som växer på barken av döda lövträd, främst asp, men någon gång även på björk eller andra trädslag. På sina växtplatser förekommer den gärna tillsammans med flera ovanliga och rödlistade arter, till exempel olika insekter. Barkticka är typisk art för </w:t>
      </w:r>
      <w:r>
        <w:rPr>
          <w:i/>
        </w:rPr>
        <w:t xml:space="preserve">9010 Taiga </w:t>
      </w:r>
      <w:r>
        <w:t xml:space="preserve">och </w:t>
      </w:r>
      <w:r>
        <w:rPr>
          <w:i/>
        </w:rPr>
        <w:t>9030 Landhöjningsskog</w:t>
      </w:r>
      <w:r>
        <w:t xml:space="preserve"> (SLU Artdatabanken, 2025; Nitare &amp; Skogsstyrelsen, 2019).</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