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489-2024 i Bräcke kommun</w:t>
      </w:r>
    </w:p>
    <w:p>
      <w:r>
        <w:t>Detta klagomål behandlar höga naturvärden i samrådsanmälan S 489-2024 i Bräcke kommun som inkom 2024-02-22 och omfattar 365,9 ha.</w:t>
      </w:r>
    </w:p>
    <w:p>
      <w:pPr>
        <w:pStyle w:val="Caption"/>
      </w:pPr>
      <w:r>
        <w:drawing>
          <wp:inline xmlns:a="http://schemas.openxmlformats.org/drawingml/2006/main" xmlns:pic="http://schemas.openxmlformats.org/drawingml/2006/picture">
            <wp:extent cx="5486400" cy="5397788"/>
            <wp:docPr id="1" name="Picture 1"/>
            <wp:cNvGraphicFramePr>
              <a:graphicFrameLocks noChangeAspect="1"/>
            </wp:cNvGraphicFramePr>
            <a:graphic>
              <a:graphicData uri="http://schemas.openxmlformats.org/drawingml/2006/picture">
                <pic:pic>
                  <pic:nvPicPr>
                    <pic:cNvPr id="0" name="S 489-2024 karta.png"/>
                    <pic:cNvPicPr/>
                  </pic:nvPicPr>
                  <pic:blipFill>
                    <a:blip r:embed="rId16"/>
                    <a:stretch>
                      <a:fillRect/>
                    </a:stretch>
                  </pic:blipFill>
                  <pic:spPr>
                    <a:xfrm>
                      <a:off x="0" y="0"/>
                      <a:ext cx="5486400" cy="5397788"/>
                    </a:xfrm>
                    <a:prstGeom prst="rect"/>
                  </pic:spPr>
                </pic:pic>
              </a:graphicData>
            </a:graphic>
          </wp:inline>
        </w:drawing>
      </w:r>
    </w:p>
    <w:p>
      <w:pPr>
        <w:pStyle w:val="Caption"/>
        <w:spacing w:after="240"/>
      </w:pPr>
      <w:r>
        <w:t>Figur 1. Fyndplatser för naturvårdsarter i och inom 23 meter från samrådsanmälan. Markörer utan svart kant är placerade på fyndplatsen. Markörer med svart kant är placerade vid sidan av fyndplatsen och har ett svart streck som visar fyndplatsens exakta position. Kartans mittpunktskoordinat är N 6949292, E 524715 i SWEREF 99 TM.</w:t>
      </w:r>
    </w:p>
    <w:p>
      <w:r>
        <w:t>I och inom 23 meter från samrådsanmälan finns fynd av 18 naturvårdsarter, varav 6 är rödlistade, 8 är fridlysta, 14 är typiska (T) och 5 är signalarter (S): aspgelélav (VU, T), doftticka (VU, T, §8), lavskrika (NT, T, §4), lunglav (NT, T), skrovellav (NT, T), talltita (NT, §4), finbräken (S, T), kransrams (S, T), plattlummer (S, T, §9), svart trolldruva (S, T), tvåblad (S, §8), blåsippa (T, §9), kärrfibbla (T), liljekonvalj (T), nordisk stormhatt (T), torta (T), orre (§4)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Aspgelélav (VU) är typisk art för </w:t>
      </w:r>
      <w:r>
        <w:rPr>
          <w:i/>
        </w:rPr>
        <w:t>9010 Taiga</w:t>
      </w:r>
      <w:r>
        <w:t xml:space="preserve"> (SLU Artdatabanken, 2024).</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0 fyndplatser för knärot registrerade på Artportalen. Figur 2 visar gränserna för buffertzoner på 50 m, som behöver lämnas kring fyndplatserna för att knärotslokalerna inte ska försvinna vid en avverkning. Av det samrådsanmälda området överlappar 0.02 ha med buffertzonerna och får av detta skäl inte avverkas.</w:t>
      </w:r>
    </w:p>
    <w:p>
      <w:pPr>
        <w:pStyle w:val="Caption"/>
      </w:pPr>
      <w:r>
        <w:drawing>
          <wp:inline xmlns:a="http://schemas.openxmlformats.org/drawingml/2006/main" xmlns:pic="http://schemas.openxmlformats.org/drawingml/2006/picture">
            <wp:extent cx="5486400" cy="5335571"/>
            <wp:docPr id="2" name="Picture 2"/>
            <wp:cNvGraphicFramePr>
              <a:graphicFrameLocks noChangeAspect="1"/>
            </wp:cNvGraphicFramePr>
            <a:graphic>
              <a:graphicData uri="http://schemas.openxmlformats.org/drawingml/2006/picture">
                <pic:pic>
                  <pic:nvPicPr>
                    <pic:cNvPr id="0" name="S 489-2024 karta knärot.png"/>
                    <pic:cNvPicPr/>
                  </pic:nvPicPr>
                  <pic:blipFill>
                    <a:blip r:embed="rId17"/>
                    <a:stretch>
                      <a:fillRect/>
                    </a:stretch>
                  </pic:blipFill>
                  <pic:spPr>
                    <a:xfrm>
                      <a:off x="0" y="0"/>
                      <a:ext cx="5486400" cy="5335571"/>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6949292, E 524715 i SWEREF 99 TM.</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Finbräken är typisk art för </w:t>
      </w:r>
      <w:r>
        <w:rPr>
          <w:i/>
        </w:rPr>
        <w:t xml:space="preserve">9050 Näringsrik granskog </w:t>
      </w:r>
      <w:r>
        <w:t xml:space="preserve">och </w:t>
      </w:r>
      <w:r>
        <w:rPr>
          <w:i/>
        </w:rPr>
        <w:t xml:space="preserve">9040 Fjällbjörkskog </w:t>
      </w:r>
      <w:r>
        <w:t>(SLU Artdatabanken, 2024; Nitare &amp; Skogsstyrelsen, 2019).</w:t>
      </w:r>
    </w:p>
    <w:p>
      <w:r>
        <w:rPr>
          <w:b/>
        </w:rPr>
        <w:t>Kransrams</w:t>
      </w:r>
      <w:r>
        <w:t xml:space="preserve"> är typisk art för </w:t>
      </w:r>
      <w:r>
        <w:rPr>
          <w:i/>
        </w:rPr>
        <w:t xml:space="preserve">9020 Nordlig ädellövskog </w:t>
      </w:r>
      <w:r>
        <w:t>(SLU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Kärrfibbla</w:t>
      </w:r>
      <w:r>
        <w:t xml:space="preserve"> är typisk art för </w:t>
      </w:r>
      <w:r>
        <w:rPr>
          <w:i/>
        </w:rPr>
        <w:t xml:space="preserve">9050 Näringsrik granskog, 9080 Lövsumpskog </w:t>
      </w:r>
      <w:r>
        <w:t>och</w:t>
      </w:r>
      <w:r>
        <w:rPr>
          <w:i/>
        </w:rPr>
        <w:t xml:space="preserve"> 9040 Fjällbjörkskog </w:t>
      </w:r>
      <w:r>
        <w:t>(SLU Artdatabanken, 2025).</w:t>
      </w:r>
    </w:p>
    <w:p>
      <w:r>
        <w:rPr>
          <w:b/>
        </w:rPr>
        <w:t>Liljekonvalj</w:t>
      </w:r>
      <w:r>
        <w:t xml:space="preserve"> är typisk art för </w:t>
      </w:r>
      <w:r>
        <w:rPr>
          <w:i/>
        </w:rPr>
        <w:t>9190 Näringsfattig ekskog</w:t>
      </w:r>
      <w:r>
        <w:t>. På liljekonvalj kan man hitta rostsvampen konvaljerost (NE) (SLU Artdatabanken, 2025).</w:t>
      </w:r>
    </w:p>
    <w:p>
      <w:r>
        <w:rPr>
          <w:b/>
        </w:rPr>
        <w:t>Nordisk stormhatt</w:t>
      </w:r>
      <w:r>
        <w:t xml:space="preserve"> är typisk art för </w:t>
      </w:r>
      <w:r>
        <w:rPr>
          <w:i/>
        </w:rPr>
        <w:t xml:space="preserve">9050 Näringsrik granskog, 9040 Fjällbjörkskog </w:t>
      </w:r>
      <w:r>
        <w:t xml:space="preserve">och </w:t>
      </w:r>
      <w:r>
        <w:rPr>
          <w:i/>
        </w:rPr>
        <w:t>6430 Högörtängar</w:t>
      </w:r>
      <w:r>
        <w:t>. Stormhattsrotvecklare (NT) samt stormhattshumla, som är rödlistad som nära hotad (NT) på den europeiska rödlistan, är knuten till nordisk stormhatt</w:t>
      </w:r>
      <w:r>
        <w:rPr>
          <w:i/>
        </w:rPr>
        <w:t xml:space="preserve"> </w:t>
      </w:r>
      <w:r>
        <w:t>(SLU Artdatabanken, 2026; IUCN, 2025).</w:t>
      </w:r>
    </w:p>
    <w:p>
      <w:r>
        <w:rPr>
          <w:b/>
        </w:rPr>
        <w:t xml:space="preserve">Torta </w:t>
      </w:r>
      <w:r>
        <w:t xml:space="preserve">är typisk art för </w:t>
      </w:r>
      <w:r>
        <w:rPr>
          <w:i/>
        </w:rPr>
        <w:t xml:space="preserve">9050 Näringsrik granskog </w:t>
      </w:r>
      <w:r>
        <w:t xml:space="preserve">och </w:t>
      </w:r>
      <w:r>
        <w:rPr>
          <w:i/>
        </w:rPr>
        <w:t xml:space="preserve">9040 Fjällbjörkskog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