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51037-2023 i Bräcke kommun</w:t>
      </w:r>
    </w:p>
    <w:p>
      <w:r>
        <w:t>Denna tillsynsbegäran behandlar höga naturvärden i avverkningsanmälan A 51037-2023 i Bräcke kommun som inkom 2023-10-19 och omfattar 6,8 ha.</w:t>
      </w:r>
    </w:p>
    <w:p>
      <w:pPr>
        <w:pStyle w:val="Caption"/>
      </w:pPr>
      <w:r>
        <w:drawing>
          <wp:inline xmlns:a="http://schemas.openxmlformats.org/drawingml/2006/main" xmlns:pic="http://schemas.openxmlformats.org/drawingml/2006/picture">
            <wp:extent cx="5486400" cy="4490977"/>
            <wp:docPr id="1" name="Picture 1"/>
            <wp:cNvGraphicFramePr>
              <a:graphicFrameLocks noChangeAspect="1"/>
            </wp:cNvGraphicFramePr>
            <a:graphic>
              <a:graphicData uri="http://schemas.openxmlformats.org/drawingml/2006/picture">
                <pic:pic>
                  <pic:nvPicPr>
                    <pic:cNvPr id="0" name="A 51037-2023 karta.png"/>
                    <pic:cNvPicPr/>
                  </pic:nvPicPr>
                  <pic:blipFill>
                    <a:blip r:embed="rId16"/>
                    <a:stretch>
                      <a:fillRect/>
                    </a:stretch>
                  </pic:blipFill>
                  <pic:spPr>
                    <a:xfrm>
                      <a:off x="0" y="0"/>
                      <a:ext cx="5486400" cy="4490977"/>
                    </a:xfrm>
                    <a:prstGeom prst="rect"/>
                  </pic:spPr>
                </pic:pic>
              </a:graphicData>
            </a:graphic>
          </wp:inline>
        </w:drawing>
      </w:r>
    </w:p>
    <w:p>
      <w:pPr>
        <w:pStyle w:val="Caption"/>
        <w:spacing w:after="240"/>
      </w:pPr>
      <w:r>
        <w:t>Figur 1. Fyndplatser för naturvårdsarter i och inom 4 meter från avverkningsanmälan. Markörer utan svart kant är placerade på fyndplatsen. Markörer med svart kant är placerade vid sidan av fyndplatsen och har ett svart streck som visar fyndplatsens exakta position. Kartans mittpunktskoordinat är N 6990872, E 554040 i SWEREF 99 TM.</w:t>
      </w:r>
    </w:p>
    <w:p>
      <w:r>
        <w:t>I och inom 4 meter från avverkningsanmälan finns fynd av 9 naturvårdsarter, varav 4 är rödlistade, 1 är fridlyst, 8 är typiska (T) och 5 är signalarter (S): doftticka (VU, T, §8), kolflarnlav (NT, T), lunglav (NT, T), skrovellav (NT, T), bårdlav (S, T), gytterlav (S, T), luddlav (S, T), rödgul trumpetsvamp (S) och stuplav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Doftticka (VU, §8)</w:t>
      </w:r>
      <w:r>
        <w:t xml:space="preserve"> är rödlistad som sårbar (VU) och fridlyst enligt 8§ artskyddsförordningen. Den är även globalt rödlistad som Nära hotad (NT) vilket innebär att Sverige har ett internationellt ansvar för arten. Doftticka är beroende av hög och jämn luftfuktighet i gamla, ostörda skogsmiljöer och är känslig för snabba förändringar av ljus-/vindförhållanden eller uttorkning. Dofttickan är placerad i toppen av Skogsstyrelsens värdepyramid för bedömning av skog med höga naturvärden och signalerar alltid gamla sälgar och skogsområden med höga naturvärden. Avverkning av värdträd (främst sälg) utgör det största hotet och när gamla och olikåldriga skogar med sälg avverkas försvinner oftast sälgen. Dofttickan har minskat med ca 30 % under de senaste 30 åren och är typisk art för </w:t>
      </w:r>
      <w:r>
        <w:rPr>
          <w:i/>
        </w:rPr>
        <w:t>9010 Taiga</w:t>
      </w:r>
      <w:r>
        <w:t xml:space="preserve"> och</w:t>
      </w:r>
      <w:r>
        <w:rPr>
          <w:i/>
        </w:rPr>
        <w:t xml:space="preserve"> 9050 Näringsrik granskog </w:t>
      </w:r>
      <w:r>
        <w:t>(IUCN Redlist, 2024; Nitare &amp; Skogsstyrelsen, 2019; SLU Artdatabanken, 2024).</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 xml:space="preserve">Gytterlav </w:t>
      </w:r>
      <w:r>
        <w:t xml:space="preserve">signalerar höga naturvärden i södra och mellersta Sverige, samt längs Norrlands kustland. Förekomster i söder, framför allt på trädstammar, är en indikation på gammal skogsmark med långvarig förekomst av äldre lövträd i miljöer med hög och jämn luftfuktighet. Gytterlav är typisk art för </w:t>
      </w:r>
      <w:r>
        <w:rPr>
          <w:i/>
        </w:rPr>
        <w:t xml:space="preserve">9040 Fjällbjörkskog </w:t>
      </w:r>
      <w:r>
        <w:t>(Nitare &amp; Skogsstyrelsen, 2019; SLU Artdatabanken, 2025).</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rPr>
          <w:b/>
        </w:rPr>
        <w:t xml:space="preserve">Rödgul trumpetsvamp </w:t>
      </w:r>
      <w:r>
        <w:t>signalerar kalkrika barrsumpskogar eller avgränsade små mineralrika ytor i barrskogslandskapet, vilka normalt har höga naturvärden. I urbergsbygder är den en bra signalart på känsliga skogsbiotoper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doftticka (VU, T, §8), kolflarnlav (NT, T), lunglav (NT, T), skrovellav (NT, T), bårdlav (S, T), gytterlav (S, T), luddlav (S, T) och stuplav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