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23729-2024 i Bräcke kommun</w:t>
      </w:r>
    </w:p>
    <w:p>
      <w:r>
        <w:t>Denna tillsynsbegäran behandlar höga naturvärden i avverkningsanmälan A 23729-2024 i Bräcke kommun som inkom 2024-06-11 och omfattar 7,6 ha.</w:t>
      </w:r>
    </w:p>
    <w:p>
      <w:pPr>
        <w:pStyle w:val="Caption"/>
      </w:pPr>
      <w:r>
        <w:drawing>
          <wp:inline xmlns:a="http://schemas.openxmlformats.org/drawingml/2006/main" xmlns:pic="http://schemas.openxmlformats.org/drawingml/2006/picture">
            <wp:extent cx="5486400" cy="4438539"/>
            <wp:docPr id="1" name="Picture 1"/>
            <wp:cNvGraphicFramePr>
              <a:graphicFrameLocks noChangeAspect="1"/>
            </wp:cNvGraphicFramePr>
            <a:graphic>
              <a:graphicData uri="http://schemas.openxmlformats.org/drawingml/2006/picture">
                <pic:pic>
                  <pic:nvPicPr>
                    <pic:cNvPr id="0" name="A 23729-2024 karta.png"/>
                    <pic:cNvPicPr/>
                  </pic:nvPicPr>
                  <pic:blipFill>
                    <a:blip r:embed="rId16"/>
                    <a:stretch>
                      <a:fillRect/>
                    </a:stretch>
                  </pic:blipFill>
                  <pic:spPr>
                    <a:xfrm>
                      <a:off x="0" y="0"/>
                      <a:ext cx="5486400" cy="443853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6987263, E 528882 i SWEREF 99 TM.</w:t>
      </w:r>
    </w:p>
    <w:p>
      <w:r>
        <w:t>I och inom 22 meter från avverkningsanmälan finns fynd av 8 naturvårdsarter, varav 5 är rödlistade, 2 är fridlysta, 6 är typiska (T) och 3 är signalarter (S): doftticka (VU, T, §8), blanksvart spiklav (NT), grantaggsvamp (NT), kolflarnlav (NT, T), tretåig hackspett (NT, T, §4), bårdlav (S, T), kransrams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kolflarnlav (NT, T), tretåig hackspett (NT, T, §4), bårdlav (S, T), kransrams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