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36371-2022 i Bräcke kommun</w:t>
      </w:r>
    </w:p>
    <w:p>
      <w:r>
        <w:t>Detta klagomål behandlar höga naturvärden i avverkningsanmälan A 36371-2022 i Bräcke kommun som inkom 2022-08-30 och omfattar 33,6 ha.</w:t>
      </w:r>
    </w:p>
    <w:p>
      <w:pPr>
        <w:pStyle w:val="Caption"/>
      </w:pPr>
      <w:r>
        <w:drawing>
          <wp:inline xmlns:a="http://schemas.openxmlformats.org/drawingml/2006/main" xmlns:pic="http://schemas.openxmlformats.org/drawingml/2006/picture">
            <wp:extent cx="5486400" cy="4402318"/>
            <wp:docPr id="1" name="Picture 1"/>
            <wp:cNvGraphicFramePr>
              <a:graphicFrameLocks noChangeAspect="1"/>
            </wp:cNvGraphicFramePr>
            <a:graphic>
              <a:graphicData uri="http://schemas.openxmlformats.org/drawingml/2006/picture">
                <pic:pic>
                  <pic:nvPicPr>
                    <pic:cNvPr id="0" name="A 36371-2022 karta.png"/>
                    <pic:cNvPicPr/>
                  </pic:nvPicPr>
                  <pic:blipFill>
                    <a:blip r:embed="rId16"/>
                    <a:stretch>
                      <a:fillRect/>
                    </a:stretch>
                  </pic:blipFill>
                  <pic:spPr>
                    <a:xfrm>
                      <a:off x="0" y="0"/>
                      <a:ext cx="5486400" cy="440231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6954656, E 562804 i SWEREF 99 TM.</w:t>
      </w:r>
    </w:p>
    <w:p>
      <w:r>
        <w:t>I och inom 20 meter från avverkningsanmälan finns fynd av 11 naturvårdsarter, varav 9 är rödlistade, 3 är fridlysta, 9 är typiska (T) och 2 är signalarter (S): borsttagging (VU), knärot (VU, T, §8), kolflarnlav (NT, T), lunglav (NT, T), rosenticka (NT, T), rynkskinn (NT, T), talltita (NT, §4), tretåig hackspett (NT, T, §4), ullticka (NT, T), stor aspticka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Borsttagging (VU)</w:t>
      </w:r>
      <w:r>
        <w:t xml:space="preserve"> är en sällsynt art som växer på såväl levande som döda stammar av lövträd, mest asp och sälg, ibland även på al och alm. Den indikerar gamla och lövträdslika skogsmiljöer med konstant hög och jämn luftfuktighet. Svampen är mycket känslig för all form av avverkning och dränering som kan orsaka ett torrare mikroklimat på växtplatsen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18 fyndplatser för knärot registrerade på Artportalen. Figur 2 visar gränserna för buffertzoner på 50 m, som behöver lämnas kring fyndplatserna för att knärotslokalerna inte ska försvinna vid en avverkning. Av det avverkningsanmälda området överlappar 10.23 ha med buffertzonerna och får av detta skäl inte avverkas.</w:t>
      </w:r>
    </w:p>
    <w:p>
      <w:pPr>
        <w:pStyle w:val="Caption"/>
      </w:pPr>
      <w:r>
        <w:drawing>
          <wp:inline xmlns:a="http://schemas.openxmlformats.org/drawingml/2006/main" xmlns:pic="http://schemas.openxmlformats.org/drawingml/2006/picture">
            <wp:extent cx="5486400" cy="4274113"/>
            <wp:docPr id="2" name="Picture 2"/>
            <wp:cNvGraphicFramePr>
              <a:graphicFrameLocks noChangeAspect="1"/>
            </wp:cNvGraphicFramePr>
            <a:graphic>
              <a:graphicData uri="http://schemas.openxmlformats.org/drawingml/2006/picture">
                <pic:pic>
                  <pic:nvPicPr>
                    <pic:cNvPr id="0" name="A 36371-2022 karta knärot.png"/>
                    <pic:cNvPicPr/>
                  </pic:nvPicPr>
                  <pic:blipFill>
                    <a:blip r:embed="rId17"/>
                    <a:stretch>
                      <a:fillRect/>
                    </a:stretch>
                  </pic:blipFill>
                  <pic:spPr>
                    <a:xfrm>
                      <a:off x="0" y="0"/>
                      <a:ext cx="5486400" cy="427411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6954656, E 562804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